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before="309" w:line="213" w:lineRule="auto"/>
        <w:jc w:val="right"/>
        <w:rPr>
          <w:rFonts w:ascii="宋体" w:hAnsi="宋体" w:eastAsia="宋体" w:cs="宋体"/>
          <w:sz w:val="95"/>
          <w:szCs w:val="95"/>
        </w:rPr>
      </w:pPr>
    </w:p>
    <w:p>
      <w:pPr>
        <w:spacing w:line="351" w:lineRule="auto"/>
        <w:rPr>
          <w:rFonts w:ascii="Arial"/>
          <w:sz w:val="21"/>
        </w:rPr>
      </w:pPr>
    </w:p>
    <w:p>
      <w:pPr>
        <w:spacing w:line="460" w:lineRule="exact"/>
        <w:ind w:firstLine="129"/>
        <w:textAlignment w:val="center"/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1" w:lineRule="auto"/>
        <w:rPr>
          <w:rFonts w:ascii="Arial"/>
          <w:sz w:val="21"/>
        </w:rPr>
      </w:pPr>
    </w:p>
    <w:p>
      <w:pPr>
        <w:spacing w:before="98" w:line="229" w:lineRule="auto"/>
        <w:ind w:left="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呼公资联发〔2023〕4号</w:t>
      </w:r>
      <w:r>
        <w:rPr>
          <w:rFonts w:ascii="仿宋" w:hAnsi="仿宋" w:eastAsia="仿宋" w:cs="仿宋"/>
          <w:sz w:val="30"/>
          <w:szCs w:val="30"/>
        </w:rPr>
        <w:t xml:space="preserve">                     </w:t>
      </w:r>
      <w:r>
        <w:rPr>
          <w:rFonts w:ascii="仿宋" w:hAnsi="仿宋" w:eastAsia="仿宋" w:cs="仿宋"/>
          <w:spacing w:val="18"/>
          <w:sz w:val="30"/>
          <w:szCs w:val="30"/>
        </w:rPr>
        <w:t>签发人：杨子江</w:t>
      </w:r>
    </w:p>
    <w:p>
      <w:pPr>
        <w:spacing w:before="118" w:line="60" w:lineRule="exact"/>
        <w:ind w:firstLine="79"/>
        <w:textAlignment w:val="center"/>
      </w:pPr>
      <w:r>
        <w:drawing>
          <wp:inline distT="0" distB="0" distL="0" distR="0">
            <wp:extent cx="5701665" cy="37465"/>
            <wp:effectExtent l="0" t="0" r="0" b="0"/>
            <wp:docPr id="5" name="IM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 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02298" cy="38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410" w:lineRule="auto"/>
        <w:rPr>
          <w:rFonts w:ascii="Arial"/>
          <w:sz w:val="21"/>
        </w:rPr>
      </w:pPr>
    </w:p>
    <w:p>
      <w:pPr>
        <w:spacing w:before="147" w:line="225" w:lineRule="auto"/>
        <w:ind w:left="2436" w:right="1799" w:hanging="91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4"/>
          <w:sz w:val="45"/>
          <w:szCs w:val="45"/>
        </w:rPr>
        <w:t>关于进一步加强招标投标活动</w:t>
      </w:r>
      <w:r>
        <w:rPr>
          <w:rFonts w:ascii="宋体" w:hAnsi="宋体" w:eastAsia="宋体" w:cs="宋体"/>
          <w:spacing w:val="7"/>
          <w:sz w:val="45"/>
          <w:szCs w:val="45"/>
        </w:rPr>
        <w:t xml:space="preserve"> </w:t>
      </w:r>
      <w:r>
        <w:rPr>
          <w:rFonts w:ascii="宋体" w:hAnsi="宋体" w:eastAsia="宋体" w:cs="宋体"/>
          <w:b/>
          <w:bCs/>
          <w:spacing w:val="-12"/>
          <w:sz w:val="45"/>
          <w:szCs w:val="45"/>
        </w:rPr>
        <w:t>在线监管工作的通知</w:t>
      </w:r>
    </w:p>
    <w:p>
      <w:pPr>
        <w:spacing w:line="350" w:lineRule="auto"/>
        <w:rPr>
          <w:rFonts w:ascii="Arial"/>
          <w:sz w:val="21"/>
        </w:rPr>
      </w:pPr>
    </w:p>
    <w:p>
      <w:pPr>
        <w:spacing w:line="350" w:lineRule="auto"/>
        <w:rPr>
          <w:rFonts w:ascii="Arial"/>
          <w:sz w:val="21"/>
        </w:rPr>
      </w:pPr>
    </w:p>
    <w:p>
      <w:pPr>
        <w:spacing w:before="97"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各旗市区人民政府、市直各有关部门：</w:t>
      </w:r>
    </w:p>
    <w:p>
      <w:pPr>
        <w:spacing w:before="222" w:line="370" w:lineRule="auto"/>
        <w:ind w:left="29" w:right="153" w:firstLine="609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为贯彻落实《国务院办公厅转发国家发展改革委关于深化公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共资源交易平台整合共享指导意见的通知》(国办函〔2019〕41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2"/>
          <w:sz w:val="30"/>
          <w:szCs w:val="30"/>
        </w:rPr>
        <w:t>号)精神，加强公共资源交易在线监管，运用“</w:t>
      </w:r>
      <w:r>
        <w:rPr>
          <w:rFonts w:ascii="仿宋" w:hAnsi="仿宋" w:eastAsia="仿宋" w:cs="仿宋"/>
          <w:spacing w:val="21"/>
          <w:sz w:val="30"/>
          <w:szCs w:val="30"/>
        </w:rPr>
        <w:t>互联网+监管”,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全面提升公共资源交易领域监督治理效能，促进我市招标投标领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域健康有序发展，现将加强招标投标在线监管工作有关事宜通知</w:t>
      </w:r>
    </w:p>
    <w:p>
      <w:pPr>
        <w:spacing w:line="220" w:lineRule="auto"/>
        <w:ind w:left="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如下，请认真贯彻执行。</w:t>
      </w:r>
    </w:p>
    <w:p>
      <w:pPr>
        <w:spacing w:before="231" w:line="221" w:lineRule="auto"/>
        <w:ind w:left="704"/>
        <w:outlineLvl w:val="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10"/>
          <w:sz w:val="30"/>
          <w:szCs w:val="30"/>
        </w:rPr>
        <w:t>一、工作职责</w:t>
      </w:r>
    </w:p>
    <w:p>
      <w:pPr>
        <w:sectPr>
          <w:footerReference r:id="rId5" w:type="default"/>
          <w:pgSz w:w="12240" w:h="16830"/>
          <w:pgMar w:top="1430" w:right="1836" w:bottom="1109" w:left="1340" w:header="0" w:footer="870" w:gutter="0"/>
          <w:cols w:space="720" w:num="1"/>
        </w:sectPr>
      </w:pPr>
    </w:p>
    <w:p>
      <w:pPr>
        <w:spacing w:line="320" w:lineRule="auto"/>
        <w:rPr>
          <w:rFonts w:ascii="Arial"/>
          <w:sz w:val="21"/>
        </w:rPr>
      </w:pPr>
    </w:p>
    <w:p>
      <w:pPr>
        <w:spacing w:line="320" w:lineRule="auto"/>
        <w:rPr>
          <w:rFonts w:ascii="Arial"/>
          <w:sz w:val="21"/>
        </w:rPr>
      </w:pPr>
    </w:p>
    <w:p>
      <w:pPr>
        <w:spacing w:before="101" w:line="352" w:lineRule="auto"/>
        <w:ind w:firstLine="61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市和旗(市区)两级住建、交通、水利、农牧、林草等行政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主管部门按照监管职责分工，通过行政监督平台(电子监管系统)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依法对本行业招标投标进场交易项目实施全过</w:t>
      </w:r>
      <w:r>
        <w:rPr>
          <w:rFonts w:ascii="仿宋" w:hAnsi="仿宋" w:eastAsia="仿宋" w:cs="仿宋"/>
          <w:spacing w:val="4"/>
          <w:sz w:val="31"/>
          <w:szCs w:val="31"/>
        </w:rPr>
        <w:t>程在线监督、协同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监管、信用监管、智慧监管。</w:t>
      </w:r>
    </w:p>
    <w:p>
      <w:pPr>
        <w:spacing w:before="204" w:line="221" w:lineRule="auto"/>
        <w:ind w:left="614"/>
        <w:outlineLvl w:val="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4"/>
          <w:sz w:val="31"/>
          <w:szCs w:val="31"/>
        </w:rPr>
        <w:t>二、</w:t>
      </w:r>
      <w:r>
        <w:rPr>
          <w:rFonts w:ascii="黑体" w:hAnsi="黑体" w:eastAsia="黑体" w:cs="黑体"/>
          <w:spacing w:val="-44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4"/>
          <w:sz w:val="31"/>
          <w:szCs w:val="31"/>
        </w:rPr>
        <w:t>工作任务和措施</w:t>
      </w:r>
    </w:p>
    <w:p>
      <w:pPr>
        <w:spacing w:before="239" w:line="219" w:lineRule="auto"/>
        <w:ind w:left="7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3"/>
          <w:sz w:val="31"/>
          <w:szCs w:val="31"/>
        </w:rPr>
        <w:t>(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3"/>
          <w:sz w:val="31"/>
          <w:szCs w:val="31"/>
        </w:rPr>
        <w:t>一)实施在线监督</w:t>
      </w:r>
    </w:p>
    <w:p>
      <w:pPr>
        <w:spacing w:before="253" w:line="352" w:lineRule="auto"/>
        <w:ind w:right="14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1.开标评标现场在线监督。市和旗(市区)两级行政主管部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门，要落实落细招标投标项目常态化在线监督，使用行政监督平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台在线监督功能，实时在线查看开标室、评标室环境监控视频， </w:t>
      </w:r>
      <w:r>
        <w:rPr>
          <w:rFonts w:ascii="仿宋" w:hAnsi="仿宋" w:eastAsia="仿宋" w:cs="仿宋"/>
          <w:spacing w:val="5"/>
          <w:sz w:val="31"/>
          <w:szCs w:val="31"/>
        </w:rPr>
        <w:t>加强对入场交易项目的开标、评标现场环节实</w:t>
      </w:r>
      <w:r>
        <w:rPr>
          <w:rFonts w:ascii="仿宋" w:hAnsi="仿宋" w:eastAsia="仿宋" w:cs="仿宋"/>
          <w:spacing w:val="4"/>
          <w:sz w:val="31"/>
          <w:szCs w:val="31"/>
        </w:rPr>
        <w:t>施全过程实时在线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监督。</w:t>
      </w:r>
    </w:p>
    <w:p>
      <w:pPr>
        <w:spacing w:before="241" w:line="221" w:lineRule="auto"/>
        <w:ind w:left="76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2"/>
          <w:sz w:val="31"/>
          <w:szCs w:val="31"/>
        </w:rPr>
        <w:t>(二)实行协同监管</w:t>
      </w:r>
    </w:p>
    <w:p>
      <w:pPr>
        <w:spacing w:before="240" w:line="358" w:lineRule="auto"/>
        <w:ind w:right="57" w:firstLine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1.全流程电子交易过程在线监督。依托交易过程监督功能紧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盯招标公告、招标文件、场地预约、变更公告、答疑与澄清、组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建评标委员会、中标候选人公示、中标结果公告、异议答复、招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标异常公告、招标投标情况书面报告、合同订立、合同履约与变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更信息等关键环节、载体，及时发现招标投标过程中违法违规行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6"/>
          <w:sz w:val="31"/>
          <w:szCs w:val="31"/>
        </w:rPr>
        <w:t>为，通过使用督查督办功能及时向招标人推送预警纠错督</w:t>
      </w:r>
      <w:r>
        <w:rPr>
          <w:rFonts w:ascii="仿宋" w:hAnsi="仿宋" w:eastAsia="仿宋" w:cs="仿宋"/>
          <w:spacing w:val="15"/>
          <w:sz w:val="31"/>
          <w:szCs w:val="31"/>
        </w:rPr>
        <w:t>办信</w:t>
      </w:r>
    </w:p>
    <w:p>
      <w:pPr>
        <w:spacing w:before="2" w:line="225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息。</w:t>
      </w:r>
    </w:p>
    <w:p>
      <w:pPr>
        <w:spacing w:before="210" w:line="600" w:lineRule="exact"/>
        <w:ind w:left="61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position w:val="21"/>
          <w:sz w:val="31"/>
          <w:szCs w:val="31"/>
        </w:rPr>
        <w:t>2.投诉受理处理在线办理。市和旗(市区)两级行政主管部</w:t>
      </w:r>
    </w:p>
    <w:p>
      <w:pPr>
        <w:spacing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门，要充分运用行政监督平台在线投诉受理功能，依法依规处理</w:t>
      </w:r>
    </w:p>
    <w:p>
      <w:pPr>
        <w:sectPr>
          <w:footerReference r:id="rId6" w:type="default"/>
          <w:pgSz w:w="12240" w:h="16830"/>
          <w:pgMar w:top="1430" w:right="1690" w:bottom="1247" w:left="1679" w:header="0" w:footer="940" w:gutter="0"/>
          <w:cols w:space="720" w:num="1"/>
        </w:sect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6" w:lineRule="auto"/>
        <w:rPr>
          <w:rFonts w:ascii="Arial"/>
          <w:sz w:val="21"/>
        </w:rPr>
      </w:pPr>
    </w:p>
    <w:p>
      <w:pPr>
        <w:spacing w:line="257" w:lineRule="auto"/>
        <w:rPr>
          <w:rFonts w:ascii="Arial"/>
          <w:sz w:val="21"/>
        </w:rPr>
      </w:pPr>
    </w:p>
    <w:p>
      <w:pPr>
        <w:spacing w:before="97" w:line="369" w:lineRule="auto"/>
        <w:ind w:right="160"/>
        <w:jc w:val="both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招投标活动中产生的投诉事项，及时将投诉处理结果公开发布。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7"/>
          <w:sz w:val="30"/>
          <w:szCs w:val="30"/>
        </w:rPr>
        <w:t>各级行政主管部门可通过提问查看与异议监督</w:t>
      </w:r>
      <w:r>
        <w:rPr>
          <w:rFonts w:ascii="仿宋" w:hAnsi="仿宋" w:eastAsia="仿宋" w:cs="仿宋"/>
          <w:spacing w:val="16"/>
          <w:sz w:val="30"/>
          <w:szCs w:val="30"/>
        </w:rPr>
        <w:t>功能，及时了解掌</w:t>
      </w:r>
    </w:p>
    <w:p>
      <w:pPr>
        <w:spacing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握招标项目在线提问和异议处理情况，便于监督工作的开展。</w:t>
      </w:r>
    </w:p>
    <w:p>
      <w:pPr>
        <w:spacing w:before="269" w:line="223" w:lineRule="auto"/>
        <w:ind w:left="77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2"/>
          <w:sz w:val="30"/>
          <w:szCs w:val="30"/>
        </w:rPr>
        <w:t>(三)运用智慧监管</w:t>
      </w:r>
    </w:p>
    <w:p>
      <w:pPr>
        <w:spacing w:before="224" w:line="597" w:lineRule="exact"/>
        <w:ind w:left="6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7"/>
          <w:position w:val="22"/>
          <w:sz w:val="30"/>
          <w:szCs w:val="30"/>
        </w:rPr>
        <w:t>1.运用大数据分析，实施智慧监管。市和旗(市区)两级行</w:t>
      </w:r>
    </w:p>
    <w:p>
      <w:pPr>
        <w:spacing w:before="1"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政主管部门要充分运用行政监督平台围标串标大数据分析系统，</w:t>
      </w:r>
    </w:p>
    <w:p>
      <w:pPr>
        <w:spacing w:before="246" w:line="222" w:lineRule="auto"/>
        <w:rPr>
          <w:rFonts w:ascii="仿宋" w:hAnsi="仿宋" w:eastAsia="仿宋" w:cs="仿宋"/>
          <w:sz w:val="30"/>
          <w:szCs w:val="30"/>
        </w:rPr>
      </w:pPr>
      <w:bookmarkStart w:id="0" w:name="_GoBack"/>
      <w:bookmarkEnd w:id="0"/>
      <w:r>
        <w:rPr>
          <w:rFonts w:ascii="仿宋" w:hAnsi="仿宋" w:eastAsia="仿宋" w:cs="仿宋"/>
          <w:spacing w:val="17"/>
          <w:sz w:val="30"/>
          <w:szCs w:val="30"/>
        </w:rPr>
        <w:t>通过动态监测预警体系，对交易过程产生的海量</w:t>
      </w:r>
      <w:r>
        <w:rPr>
          <w:rFonts w:ascii="仿宋" w:hAnsi="仿宋" w:eastAsia="仿宋" w:cs="仿宋"/>
          <w:spacing w:val="16"/>
          <w:sz w:val="30"/>
          <w:szCs w:val="30"/>
        </w:rPr>
        <w:t>数据分析产生的</w:t>
      </w:r>
    </w:p>
    <w:p>
      <w:pPr>
        <w:spacing w:before="242"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sz w:val="30"/>
          <w:szCs w:val="30"/>
        </w:rPr>
        <w:t>投标人抱团投标紧密度、招标人与中标人联系紧密度及投标文件</w:t>
      </w:r>
    </w:p>
    <w:p>
      <w:pPr>
        <w:spacing w:before="235"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雷同性、围串标分析、评标专家打分、中标率异常等大数据分析，</w:t>
      </w:r>
    </w:p>
    <w:p>
      <w:pPr>
        <w:spacing w:before="244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8"/>
          <w:sz w:val="30"/>
          <w:szCs w:val="30"/>
        </w:rPr>
        <w:t>结合协同监管投诉受理功能，进一步增强监管的针对性和精准</w:t>
      </w:r>
    </w:p>
    <w:p>
      <w:pPr>
        <w:spacing w:before="243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6"/>
          <w:sz w:val="30"/>
          <w:szCs w:val="30"/>
        </w:rPr>
        <w:t>性，让“数据决策”“数据监管”“数据服务”成为常态。</w:t>
      </w:r>
    </w:p>
    <w:p>
      <w:pPr>
        <w:spacing w:before="242" w:line="369" w:lineRule="auto"/>
        <w:ind w:right="254" w:firstLine="6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6"/>
          <w:sz w:val="30"/>
          <w:szCs w:val="30"/>
        </w:rPr>
        <w:t>2.招标文件备案在线办理。市和旗(市区)两级行政主管部</w:t>
      </w:r>
      <w:r>
        <w:rPr>
          <w:rFonts w:ascii="仿宋" w:hAnsi="仿宋" w:eastAsia="仿宋" w:cs="仿宋"/>
          <w:spacing w:val="1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门要使用协同监管招标文件备案在线办理功能，开展招投标项目</w:t>
      </w:r>
    </w:p>
    <w:p>
      <w:pPr>
        <w:spacing w:line="219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招标文件在线备案，及时开展各领域内招标文件线上备案工作。</w:t>
      </w:r>
    </w:p>
    <w:p>
      <w:pPr>
        <w:spacing w:before="277" w:line="222" w:lineRule="auto"/>
        <w:ind w:left="77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41"/>
          <w:sz w:val="30"/>
          <w:szCs w:val="30"/>
        </w:rPr>
        <w:t>(四)强化信用监管</w:t>
      </w:r>
    </w:p>
    <w:p>
      <w:pPr>
        <w:spacing w:before="225" w:line="364" w:lineRule="auto"/>
        <w:ind w:right="228" w:firstLine="62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7"/>
          <w:sz w:val="30"/>
          <w:szCs w:val="30"/>
        </w:rPr>
        <w:t>1.强化信用评价与结果应用。市和旗(市区)两级行政主管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8"/>
          <w:sz w:val="30"/>
          <w:szCs w:val="30"/>
        </w:rPr>
        <w:t>部门要依托行政监督平台，完善公共资源交易领域信用体系建</w:t>
      </w:r>
      <w:r>
        <w:rPr>
          <w:rFonts w:ascii="仿宋" w:hAnsi="仿宋" w:eastAsia="仿宋" w:cs="仿宋"/>
          <w:spacing w:val="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设，通过应用信用监管系统信用评价功能，对各方交易主体进行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标后评价并将评价结果及时公布到门户网站信用信息栏目，持续</w:t>
      </w:r>
      <w:r>
        <w:rPr>
          <w:rFonts w:ascii="仿宋" w:hAnsi="仿宋" w:eastAsia="仿宋" w:cs="仿宋"/>
          <w:spacing w:val="1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完善公共资源交易信用信息管理、强化评价结果共享运用。营造</w:t>
      </w:r>
    </w:p>
    <w:p>
      <w:pPr>
        <w:spacing w:line="223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8"/>
          <w:sz w:val="30"/>
          <w:szCs w:val="30"/>
        </w:rPr>
        <w:t>公共资源交易活动“齐抓共管”的良好社会氛围。</w:t>
      </w:r>
    </w:p>
    <w:p>
      <w:pPr>
        <w:sectPr>
          <w:footerReference r:id="rId7" w:type="default"/>
          <w:pgSz w:w="12460" w:h="16990"/>
          <w:pgMar w:top="1444" w:right="1869" w:bottom="1290" w:left="1489" w:header="0" w:footer="992" w:gutter="0"/>
          <w:cols w:space="720" w:num="1"/>
        </w:sectPr>
      </w:pPr>
    </w:p>
    <w:p>
      <w:pPr>
        <w:spacing w:line="319" w:lineRule="auto"/>
        <w:rPr>
          <w:rFonts w:ascii="Arial"/>
          <w:sz w:val="21"/>
        </w:rPr>
      </w:pPr>
    </w:p>
    <w:p>
      <w:pPr>
        <w:spacing w:line="320" w:lineRule="auto"/>
        <w:rPr>
          <w:rFonts w:ascii="Arial"/>
          <w:sz w:val="21"/>
        </w:rPr>
      </w:pPr>
    </w:p>
    <w:p>
      <w:pPr>
        <w:spacing w:before="101" w:line="352" w:lineRule="auto"/>
        <w:ind w:firstLine="62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2.开展守信激励和联合惩戒。市和旗(市区)两级行政</w:t>
      </w:r>
      <w:r>
        <w:rPr>
          <w:rFonts w:ascii="仿宋" w:hAnsi="仿宋" w:eastAsia="仿宋" w:cs="仿宋"/>
          <w:spacing w:val="17"/>
          <w:sz w:val="31"/>
          <w:szCs w:val="31"/>
        </w:rPr>
        <w:t>主管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部门要加强信息公开，扩大社会监督。强化各类市场主体信用信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息的公开和运用，把市场主体参与公共资源交易活动的信用信息  </w:t>
      </w:r>
      <w:r>
        <w:rPr>
          <w:rFonts w:ascii="仿宋" w:hAnsi="仿宋" w:eastAsia="仿宋" w:cs="仿宋"/>
          <w:spacing w:val="6"/>
          <w:sz w:val="31"/>
          <w:szCs w:val="31"/>
        </w:rPr>
        <w:t>作为实施监管的重要依据，可依法依规开展守信联合激励和失信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联合惩戒，形成奖惩“</w:t>
      </w:r>
      <w:r>
        <w:rPr>
          <w:rFonts w:ascii="仿宋" w:hAnsi="仿宋" w:eastAsia="仿宋" w:cs="仿宋"/>
          <w:spacing w:val="-10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一张网”,形成“</w:t>
      </w:r>
      <w:r>
        <w:rPr>
          <w:rFonts w:ascii="仿宋" w:hAnsi="仿宋" w:eastAsia="仿宋" w:cs="仿宋"/>
          <w:spacing w:val="-1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一处失信、处处受限”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的执法联动大格局，完善公共资源交易市场秩序。</w:t>
      </w: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before="100" w:line="220" w:lineRule="auto"/>
        <w:ind w:right="162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呼伦贝尔市公共资源交易管理工作联席会议</w:t>
      </w:r>
    </w:p>
    <w:p>
      <w:pPr>
        <w:spacing w:before="224" w:line="222" w:lineRule="auto"/>
        <w:ind w:left="57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8"/>
          <w:w w:val="101"/>
          <w:sz w:val="31"/>
          <w:szCs w:val="31"/>
        </w:rPr>
        <w:t>2023年7月14日</w:t>
      </w:r>
    </w:p>
    <w:sectPr>
      <w:footerReference r:id="rId8" w:type="default"/>
      <w:pgSz w:w="12240" w:h="16830"/>
      <w:pgMar w:top="1430" w:right="1667" w:bottom="1257" w:left="1589" w:header="0" w:footer="94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89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17"/>
        <w:sz w:val="24"/>
        <w:szCs w:val="24"/>
      </w:rPr>
      <w:t>—</w:t>
    </w:r>
    <w:r>
      <w:rPr>
        <w:rFonts w:ascii="宋体" w:hAnsi="宋体" w:eastAsia="宋体" w:cs="宋体"/>
        <w:spacing w:val="-94"/>
        <w:sz w:val="24"/>
        <w:szCs w:val="24"/>
      </w:rPr>
      <w:t xml:space="preserve"> </w:t>
    </w:r>
    <w:r>
      <w:rPr>
        <w:rFonts w:ascii="宋体" w:hAnsi="宋体" w:eastAsia="宋体" w:cs="宋体"/>
        <w:spacing w:val="-17"/>
        <w:sz w:val="24"/>
        <w:szCs w:val="24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4130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3"/>
        <w:sz w:val="31"/>
        <w:szCs w:val="31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129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1"/>
        <w:w w:val="96"/>
        <w:sz w:val="30"/>
        <w:szCs w:val="30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left="4089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92"/>
        <w:sz w:val="31"/>
        <w:szCs w:val="31"/>
      </w:rPr>
      <w:t>—4—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Y2OGQ4ZTUyNGZkMGFkYmVmOGZmMWMxMjEyYjM2NzMifQ=="/>
  </w:docVars>
  <w:rsids>
    <w:rsidRoot w:val="00000000"/>
    <w:rsid w:val="4D93415F"/>
    <w:rsid w:val="6EC56B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1387</Words>
  <Characters>1405</Characters>
  <TotalTime>0</TotalTime>
  <ScaleCrop>false</ScaleCrop>
  <LinksUpToDate>false</LinksUpToDate>
  <CharactersWithSpaces>1457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2023-07-27T11:50:00Z</dcterms:created>
  <dc:creator>Kingsoft-PDF</dc:creator>
  <cp:lastModifiedBy>WPS_1686811816</cp:lastModifiedBy>
  <dcterms:modified xsi:type="dcterms:W3CDTF">2023-07-27T03:57:13Z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2023-07-27T11:50:20Z</vt:filetime>
  </property>
  <property fmtid="{D5CDD505-2E9C-101B-9397-08002B2CF9AE}" pid="4" name="UsrData">
    <vt:lpwstr>64c1e977423552001fcd55e6wl</vt:lpwstr>
  </property>
  <property fmtid="{D5CDD505-2E9C-101B-9397-08002B2CF9AE}" pid="5" name="KSOProductBuildVer">
    <vt:lpwstr>2052-11.1.0.14309</vt:lpwstr>
  </property>
  <property fmtid="{D5CDD505-2E9C-101B-9397-08002B2CF9AE}" pid="6" name="ICV">
    <vt:lpwstr>67F5286B395642EE92F976C87CB203AB_12</vt:lpwstr>
  </property>
</Properties>
</file>