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1010" w:lineRule="exact"/>
        <w:ind w:firstLine="195"/>
        <w:textAlignment w:val="center"/>
      </w:pPr>
    </w:p>
    <w:p>
      <w:pPr>
        <w:spacing w:line="334" w:lineRule="auto"/>
        <w:rPr>
          <w:rFonts w:ascii="Arial"/>
          <w:sz w:val="21"/>
        </w:rPr>
      </w:pPr>
    </w:p>
    <w:p>
      <w:pPr>
        <w:spacing w:line="335" w:lineRule="auto"/>
        <w:rPr>
          <w:rFonts w:ascii="Arial"/>
          <w:sz w:val="21"/>
        </w:rPr>
      </w:pPr>
    </w:p>
    <w:p>
      <w:pPr>
        <w:spacing w:before="101" w:line="227" w:lineRule="auto"/>
        <w:ind w:left="32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position w:val="-1"/>
          <w:sz w:val="31"/>
          <w:szCs w:val="31"/>
        </w:rPr>
        <w:t>呼公资联发〔2023〕3号</w:t>
      </w:r>
      <w:r>
        <w:rPr>
          <w:rFonts w:ascii="仿宋" w:hAnsi="仿宋" w:eastAsia="仿宋" w:cs="仿宋"/>
          <w:spacing w:val="8"/>
          <w:position w:val="-1"/>
          <w:sz w:val="31"/>
          <w:szCs w:val="31"/>
        </w:rPr>
        <w:t xml:space="preserve">                  </w:t>
      </w:r>
      <w:r>
        <w:rPr>
          <w:rFonts w:ascii="仿宋" w:hAnsi="仿宋" w:eastAsia="仿宋" w:cs="仿宋"/>
          <w:spacing w:val="-1"/>
          <w:position w:val="2"/>
          <w:sz w:val="31"/>
          <w:szCs w:val="31"/>
        </w:rPr>
        <w:t>签发人：</w:t>
      </w:r>
      <w:r>
        <w:rPr>
          <w:rFonts w:ascii="仿宋" w:hAnsi="仿宋" w:eastAsia="仿宋" w:cs="仿宋"/>
          <w:spacing w:val="30"/>
          <w:position w:val="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1"/>
          <w:position w:val="2"/>
          <w:sz w:val="31"/>
          <w:szCs w:val="31"/>
        </w:rPr>
        <w:t>杨子江</w:t>
      </w: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60" w:lineRule="exact"/>
        <w:ind w:firstLine="150"/>
        <w:textAlignment w:val="center"/>
      </w:pPr>
      <w:r>
        <w:drawing>
          <wp:inline distT="0" distB="0" distL="0" distR="0">
            <wp:extent cx="5702300" cy="3810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80" w:line="231" w:lineRule="auto"/>
        <w:ind w:left="2656" w:right="592" w:hanging="2430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3"/>
          <w:sz w:val="45"/>
          <w:szCs w:val="45"/>
        </w:rPr>
        <w:t>关于印发《呼伦贝尔市工程项目投标保证金</w:t>
      </w:r>
      <w:r>
        <w:rPr>
          <w:rFonts w:ascii="宋体" w:hAnsi="宋体" w:eastAsia="宋体" w:cs="宋体"/>
          <w:spacing w:val="2"/>
          <w:sz w:val="45"/>
          <w:szCs w:val="45"/>
        </w:rPr>
        <w:t xml:space="preserve"> </w:t>
      </w:r>
      <w:r>
        <w:rPr>
          <w:rFonts w:ascii="宋体" w:hAnsi="宋体" w:eastAsia="宋体" w:cs="宋体"/>
          <w:b/>
          <w:bCs/>
          <w:spacing w:val="-8"/>
          <w:sz w:val="45"/>
          <w:szCs w:val="45"/>
        </w:rPr>
        <w:t>管理制度》的通知</w:t>
      </w:r>
    </w:p>
    <w:p>
      <w:pPr>
        <w:spacing w:line="343" w:lineRule="auto"/>
        <w:rPr>
          <w:rFonts w:ascii="Arial"/>
          <w:sz w:val="21"/>
        </w:rPr>
      </w:pPr>
    </w:p>
    <w:p>
      <w:pPr>
        <w:spacing w:line="344" w:lineRule="auto"/>
        <w:rPr>
          <w:rFonts w:ascii="Arial"/>
          <w:sz w:val="21"/>
        </w:rPr>
      </w:pPr>
    </w:p>
    <w:p>
      <w:pPr>
        <w:spacing w:before="101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各旗市区人民政府、市直各有关部门：</w:t>
      </w:r>
    </w:p>
    <w:p>
      <w:pPr>
        <w:spacing w:before="212" w:line="352" w:lineRule="auto"/>
        <w:ind w:right="344" w:firstLine="6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为积极稳妥地做好投标保证金管理工作，确保投标保证金的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安全缴纳和及时退还，切实规范资金管理、保障招标人和投标人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的合法权益，为企业提供高效便捷服务，结合实际，制定了《呼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伦贝尔市工程项目投标保证金管理制度》,现印发给你们，请认</w:t>
      </w:r>
    </w:p>
    <w:p>
      <w:pPr>
        <w:spacing w:before="2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真贯彻执行。</w:t>
      </w: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101" w:line="554" w:lineRule="exact"/>
        <w:ind w:right="354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position w:val="18"/>
          <w:sz w:val="31"/>
          <w:szCs w:val="31"/>
        </w:rPr>
        <w:t>呼伦贝尔市公共资源交易管理工作联席会议</w:t>
      </w:r>
    </w:p>
    <w:p>
      <w:pPr>
        <w:spacing w:line="222" w:lineRule="auto"/>
        <w:ind w:left="57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8"/>
          <w:w w:val="101"/>
          <w:sz w:val="31"/>
          <w:szCs w:val="31"/>
        </w:rPr>
        <w:t>2023年7月14日</w:t>
      </w:r>
    </w:p>
    <w:p>
      <w:pPr>
        <w:sectPr>
          <w:footerReference r:id="rId5" w:type="default"/>
          <w:pgSz w:w="12500" w:h="17020"/>
          <w:pgMar w:top="1446" w:right="1875" w:bottom="1282" w:left="1409" w:header="0" w:footer="1037" w:gutter="0"/>
          <w:cols w:space="720" w:num="1"/>
        </w:sect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before="146" w:line="219" w:lineRule="auto"/>
        <w:ind w:left="516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3"/>
          <w:sz w:val="45"/>
          <w:szCs w:val="45"/>
        </w:rPr>
        <w:t>呼伦贝尔市工程项目投标保证金管理制度</w:t>
      </w:r>
    </w:p>
    <w:p>
      <w:pPr>
        <w:spacing w:line="322" w:lineRule="auto"/>
        <w:rPr>
          <w:rFonts w:ascii="Arial"/>
          <w:sz w:val="21"/>
        </w:rPr>
      </w:pPr>
    </w:p>
    <w:p>
      <w:pPr>
        <w:spacing w:line="323" w:lineRule="auto"/>
        <w:rPr>
          <w:rFonts w:ascii="Arial"/>
          <w:sz w:val="21"/>
        </w:rPr>
      </w:pPr>
    </w:p>
    <w:p>
      <w:pPr>
        <w:spacing w:before="101" w:line="358" w:lineRule="auto"/>
        <w:ind w:right="22" w:firstLine="51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为积极稳妥地做好投标保证金管理工作，确保投标保证金的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5"/>
          <w:sz w:val="31"/>
          <w:szCs w:val="31"/>
        </w:rPr>
        <w:t>安全缴纳和及时退还，切实保障招标人和投标人的合法权益，为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企业提供高效便捷服务，结合我市实际，制定本制度。</w:t>
      </w:r>
    </w:p>
    <w:p>
      <w:pPr>
        <w:spacing w:before="208" w:line="223" w:lineRule="auto"/>
        <w:ind w:left="51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5"/>
          <w:sz w:val="31"/>
          <w:szCs w:val="31"/>
        </w:rPr>
        <w:t>一、适用范围</w:t>
      </w:r>
    </w:p>
    <w:p>
      <w:pPr>
        <w:spacing w:before="245" w:line="357" w:lineRule="auto"/>
        <w:ind w:right="17" w:firstLine="51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适用于进入呼伦贝尔市公共资源交易中心、各旗市区公共资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源交易中心进行的工程项目招投标活动，且招标文件要求交纳投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标保证金的项目。</w:t>
      </w:r>
    </w:p>
    <w:p>
      <w:pPr>
        <w:spacing w:before="216" w:line="221" w:lineRule="auto"/>
        <w:ind w:left="51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7"/>
          <w:sz w:val="31"/>
          <w:szCs w:val="31"/>
        </w:rPr>
        <w:t>二、</w:t>
      </w:r>
      <w:r>
        <w:rPr>
          <w:rFonts w:ascii="黑体" w:hAnsi="黑体" w:eastAsia="黑体" w:cs="黑体"/>
          <w:spacing w:val="-71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7"/>
          <w:sz w:val="31"/>
          <w:szCs w:val="31"/>
        </w:rPr>
        <w:t>账户管理</w:t>
      </w:r>
    </w:p>
    <w:p>
      <w:pPr>
        <w:spacing w:before="253" w:line="357" w:lineRule="auto"/>
        <w:ind w:firstLine="51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呼伦贝尔市公共资源交易中心开设独立的投标保证金专用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账户，统一代收代退保证金。保证金的收取和退还应实行电子化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管理，依托金融机构，由金融机构按照招标文件和公共资源交易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机构的要求，收取和退还保证金。</w:t>
      </w:r>
    </w:p>
    <w:p>
      <w:pPr>
        <w:spacing w:before="240" w:line="222" w:lineRule="auto"/>
        <w:ind w:left="51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4"/>
          <w:sz w:val="31"/>
          <w:szCs w:val="31"/>
        </w:rPr>
        <w:t>三、</w:t>
      </w:r>
      <w:r>
        <w:rPr>
          <w:rFonts w:ascii="黑体" w:hAnsi="黑体" w:eastAsia="黑体" w:cs="黑体"/>
          <w:spacing w:val="-57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4"/>
          <w:sz w:val="31"/>
          <w:szCs w:val="31"/>
        </w:rPr>
        <w:t>投标保证金的交纳</w:t>
      </w:r>
    </w:p>
    <w:p>
      <w:pPr>
        <w:spacing w:before="234" w:line="603" w:lineRule="exact"/>
        <w:ind w:left="5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position w:val="22"/>
          <w:sz w:val="31"/>
          <w:szCs w:val="31"/>
        </w:rPr>
        <w:t>(一)投标人应当按照招标文件要求的方式和金额，在规定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时间内，将投标保证金付款证明随投标文件提交给招标人或其委</w:t>
      </w:r>
    </w:p>
    <w:p>
      <w:pPr>
        <w:spacing w:before="232" w:line="222" w:lineRule="auto"/>
        <w:rPr>
          <w:rFonts w:ascii="仿宋" w:hAnsi="仿宋" w:eastAsia="仿宋" w:cs="仿宋"/>
          <w:sz w:val="31"/>
          <w:szCs w:val="31"/>
        </w:rPr>
      </w:pPr>
      <w:bookmarkStart w:id="0" w:name="_GoBack"/>
      <w:bookmarkEnd w:id="0"/>
      <w:r>
        <w:rPr>
          <w:rFonts w:ascii="仿宋" w:hAnsi="仿宋" w:eastAsia="仿宋" w:cs="仿宋"/>
          <w:spacing w:val="9"/>
          <w:sz w:val="31"/>
          <w:szCs w:val="31"/>
        </w:rPr>
        <w:t>托的代理机构。</w:t>
      </w:r>
    </w:p>
    <w:p>
      <w:pPr>
        <w:spacing w:before="224" w:line="220" w:lineRule="auto"/>
        <w:ind w:left="5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(二)投标保证金必须以投标人单位自身名义提交，并与参</w:t>
      </w:r>
    </w:p>
    <w:p>
      <w:pPr>
        <w:spacing w:before="23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加投标的单位名称一致，不得以分支机构等其他名义提交。</w:t>
      </w:r>
    </w:p>
    <w:p>
      <w:pPr>
        <w:sectPr>
          <w:footerReference r:id="rId6" w:type="default"/>
          <w:pgSz w:w="12240" w:h="16830"/>
          <w:pgMar w:top="1430" w:right="1811" w:bottom="1257" w:left="1579" w:header="0" w:footer="949" w:gutter="0"/>
          <w:cols w:space="720" w:num="1"/>
        </w:sectPr>
      </w:pPr>
    </w:p>
    <w:p>
      <w:pPr>
        <w:spacing w:line="357" w:lineRule="auto"/>
        <w:rPr>
          <w:rFonts w:ascii="Arial"/>
          <w:sz w:val="21"/>
        </w:rPr>
      </w:pPr>
    </w:p>
    <w:p>
      <w:pPr>
        <w:spacing w:line="357" w:lineRule="auto"/>
        <w:rPr>
          <w:rFonts w:ascii="Arial"/>
          <w:sz w:val="21"/>
        </w:rPr>
      </w:pPr>
    </w:p>
    <w:p>
      <w:pPr>
        <w:spacing w:before="97" w:line="373" w:lineRule="auto"/>
        <w:ind w:right="123" w:firstLine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5"/>
          <w:sz w:val="30"/>
          <w:szCs w:val="30"/>
        </w:rPr>
        <w:t>(三)投标保证金交纳方式包括电汇、电子保函(银行保函、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6"/>
          <w:sz w:val="30"/>
          <w:szCs w:val="30"/>
        </w:rPr>
        <w:t>保险保函、担保保函等),鼓励采用电子保函方式交纳投标保证</w:t>
      </w:r>
    </w:p>
    <w:p>
      <w:pPr>
        <w:spacing w:line="228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5"/>
          <w:sz w:val="30"/>
          <w:szCs w:val="30"/>
        </w:rPr>
        <w:t>金。</w:t>
      </w:r>
    </w:p>
    <w:p>
      <w:pPr>
        <w:spacing w:before="218" w:line="369" w:lineRule="auto"/>
        <w:ind w:right="250" w:firstLine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1.以银行电汇形式交纳的，投标人应将投标保证金按照招标</w:t>
      </w:r>
      <w:r>
        <w:rPr>
          <w:rFonts w:ascii="仿宋" w:hAnsi="仿宋" w:eastAsia="仿宋" w:cs="仿宋"/>
          <w:spacing w:val="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公告要求在规定时间内汇入相对应的标段虚拟子账户内，以银行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电汇形式交纳的投标保证金须从投标单位基本账户转出，投标保</w:t>
      </w:r>
    </w:p>
    <w:p>
      <w:pPr>
        <w:spacing w:before="1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证金提交时间以保证金专用账户实际到账时间为准</w:t>
      </w:r>
      <w:r>
        <w:rPr>
          <w:rFonts w:ascii="仿宋" w:hAnsi="仿宋" w:eastAsia="仿宋" w:cs="仿宋"/>
          <w:spacing w:val="19"/>
          <w:sz w:val="30"/>
          <w:szCs w:val="30"/>
        </w:rPr>
        <w:t>。</w:t>
      </w:r>
    </w:p>
    <w:p>
      <w:pPr>
        <w:spacing w:before="243" w:line="368" w:lineRule="auto"/>
        <w:ind w:right="203" w:firstLine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2.以电子保函形式交纳的，通过呼伦贝尔市公共资源交易中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心电子保函服务平台金融服务窗口进行申请，应在投标截止时间</w:t>
      </w:r>
    </w:p>
    <w:p>
      <w:pPr>
        <w:spacing w:line="219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2"/>
          <w:sz w:val="30"/>
          <w:szCs w:val="30"/>
        </w:rPr>
        <w:t>前在线完成电子保函开具工作。</w:t>
      </w:r>
    </w:p>
    <w:p>
      <w:pPr>
        <w:spacing w:before="245" w:line="600" w:lineRule="exact"/>
        <w:ind w:left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position w:val="22"/>
          <w:sz w:val="30"/>
          <w:szCs w:val="30"/>
        </w:rPr>
        <w:t>3.联合体投标的，投标保证金由牵头人交纳，并对联合体各</w:t>
      </w:r>
    </w:p>
    <w:p>
      <w:pPr>
        <w:spacing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成员均具有约束力。</w:t>
      </w:r>
    </w:p>
    <w:p>
      <w:pPr>
        <w:spacing w:before="244" w:line="600" w:lineRule="exact"/>
        <w:ind w:left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5"/>
          <w:position w:val="22"/>
          <w:sz w:val="30"/>
          <w:szCs w:val="30"/>
        </w:rPr>
        <w:t>(四)投标保证金实行一项目一</w:t>
      </w:r>
      <w:r>
        <w:rPr>
          <w:rFonts w:ascii="仿宋" w:hAnsi="仿宋" w:eastAsia="仿宋" w:cs="仿宋"/>
          <w:spacing w:val="-71"/>
          <w:position w:val="2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5"/>
          <w:position w:val="22"/>
          <w:sz w:val="30"/>
          <w:szCs w:val="30"/>
        </w:rPr>
        <w:t>收取，不得交叉替代使用，</w:t>
      </w:r>
    </w:p>
    <w:p>
      <w:pPr>
        <w:spacing w:before="1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3"/>
          <w:sz w:val="30"/>
          <w:szCs w:val="30"/>
        </w:rPr>
        <w:t>应按项目(标段)交纳保证金。</w:t>
      </w:r>
    </w:p>
    <w:p>
      <w:pPr>
        <w:spacing w:before="241" w:line="221" w:lineRule="auto"/>
        <w:ind w:left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8"/>
          <w:sz w:val="30"/>
          <w:szCs w:val="30"/>
        </w:rPr>
        <w:t>(五)投标保证金的有效期应当与投标有效期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8"/>
          <w:sz w:val="30"/>
          <w:szCs w:val="30"/>
        </w:rPr>
        <w:t>一致</w:t>
      </w:r>
      <w:r>
        <w:rPr>
          <w:rFonts w:ascii="仿宋" w:hAnsi="仿宋" w:eastAsia="仿宋" w:cs="仿宋"/>
          <w:spacing w:val="27"/>
          <w:sz w:val="30"/>
          <w:szCs w:val="30"/>
        </w:rPr>
        <w:t>。</w:t>
      </w:r>
    </w:p>
    <w:p>
      <w:pPr>
        <w:spacing w:before="302" w:line="222" w:lineRule="auto"/>
        <w:ind w:left="624"/>
        <w:outlineLvl w:val="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5"/>
          <w:sz w:val="30"/>
          <w:szCs w:val="30"/>
        </w:rPr>
        <w:t>四、</w:t>
      </w:r>
      <w:r>
        <w:rPr>
          <w:rFonts w:ascii="黑体" w:hAnsi="黑体" w:eastAsia="黑体" w:cs="黑体"/>
          <w:spacing w:val="-60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5"/>
          <w:sz w:val="30"/>
          <w:szCs w:val="30"/>
        </w:rPr>
        <w:t>投标保证金的退还</w:t>
      </w:r>
    </w:p>
    <w:p>
      <w:pPr>
        <w:spacing w:before="248" w:line="221" w:lineRule="auto"/>
        <w:ind w:left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9"/>
          <w:sz w:val="30"/>
          <w:szCs w:val="30"/>
        </w:rPr>
        <w:t>(</w:t>
      </w:r>
      <w:r>
        <w:rPr>
          <w:rFonts w:ascii="仿宋" w:hAnsi="仿宋" w:eastAsia="仿宋" w:cs="仿宋"/>
          <w:spacing w:val="-7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9"/>
          <w:sz w:val="30"/>
          <w:szCs w:val="30"/>
        </w:rPr>
        <w:t>一)投标保证金实行本息退还</w:t>
      </w:r>
    </w:p>
    <w:p>
      <w:pPr>
        <w:spacing w:before="231" w:line="368" w:lineRule="auto"/>
        <w:ind w:right="252" w:firstLine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投标保证金的利息，按照专用账户开户银行退款</w:t>
      </w:r>
      <w:r>
        <w:rPr>
          <w:rFonts w:ascii="仿宋" w:hAnsi="仿宋" w:eastAsia="仿宋" w:cs="仿宋"/>
          <w:spacing w:val="15"/>
          <w:sz w:val="30"/>
          <w:szCs w:val="30"/>
        </w:rPr>
        <w:t>当日挂牌对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公活期存款利率计算，在退还投标保证金的同</w:t>
      </w:r>
      <w:r>
        <w:rPr>
          <w:rFonts w:ascii="仿宋" w:hAnsi="仿宋" w:eastAsia="仿宋" w:cs="仿宋"/>
          <w:spacing w:val="14"/>
          <w:sz w:val="30"/>
          <w:szCs w:val="30"/>
        </w:rPr>
        <w:t>时将利息划拨至原</w:t>
      </w:r>
    </w:p>
    <w:p>
      <w:pPr>
        <w:spacing w:before="2" w:line="218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转出账户。</w:t>
      </w:r>
    </w:p>
    <w:p>
      <w:pPr>
        <w:spacing w:before="251" w:line="222" w:lineRule="auto"/>
        <w:ind w:left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9"/>
          <w:sz w:val="30"/>
          <w:szCs w:val="30"/>
        </w:rPr>
        <w:t>(二)正常退还程序</w:t>
      </w:r>
    </w:p>
    <w:p>
      <w:pPr>
        <w:sectPr>
          <w:footerReference r:id="rId7" w:type="default"/>
          <w:pgSz w:w="12240" w:h="16830"/>
          <w:pgMar w:top="1430" w:right="1836" w:bottom="1130" w:left="1319" w:header="0" w:footer="832" w:gutter="0"/>
          <w:cols w:space="720" w:num="1"/>
        </w:sectPr>
      </w:pPr>
    </w:p>
    <w:p>
      <w:pPr>
        <w:spacing w:line="325" w:lineRule="auto"/>
        <w:rPr>
          <w:rFonts w:ascii="Arial"/>
          <w:sz w:val="21"/>
        </w:rPr>
      </w:pPr>
    </w:p>
    <w:p>
      <w:pPr>
        <w:spacing w:line="326" w:lineRule="auto"/>
        <w:rPr>
          <w:rFonts w:ascii="Arial"/>
          <w:sz w:val="21"/>
        </w:rPr>
      </w:pPr>
    </w:p>
    <w:p>
      <w:pPr>
        <w:spacing w:before="101" w:line="352" w:lineRule="auto"/>
        <w:ind w:left="10" w:right="13" w:firstLine="6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1.有效投标人不足3家或未推选中标候选人的，</w:t>
      </w:r>
      <w:r>
        <w:rPr>
          <w:rFonts w:ascii="仿宋" w:hAnsi="仿宋" w:eastAsia="仿宋" w:cs="仿宋"/>
          <w:spacing w:val="12"/>
          <w:sz w:val="31"/>
          <w:szCs w:val="31"/>
        </w:rPr>
        <w:t>招标人或其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委托的招标代理机构发布招标异常(流标/废标)公告后自动退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还投标保证金。自动退还失败的，由保证金代理银行办理保证金</w:t>
      </w:r>
    </w:p>
    <w:p>
      <w:pPr>
        <w:spacing w:line="222" w:lineRule="auto"/>
        <w:ind w:left="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人工线下退款。</w:t>
      </w:r>
    </w:p>
    <w:p>
      <w:pPr>
        <w:spacing w:before="225" w:line="357" w:lineRule="auto"/>
        <w:ind w:left="10" w:right="44" w:firstLine="6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2.投标文件提交截止时间前终止招标或投标文件提交截止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时间后代理机构、招标人、监督人未到场等原因未开标的，招</w:t>
      </w:r>
      <w:r>
        <w:rPr>
          <w:rFonts w:ascii="仿宋" w:hAnsi="仿宋" w:eastAsia="仿宋" w:cs="仿宋"/>
          <w:spacing w:val="4"/>
          <w:sz w:val="31"/>
          <w:szCs w:val="31"/>
        </w:rPr>
        <w:t>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异常(流标、终止招标)公告发布后自动退还投标保证金。自动</w:t>
      </w:r>
    </w:p>
    <w:p>
      <w:pPr>
        <w:spacing w:before="1" w:line="220" w:lineRule="auto"/>
        <w:ind w:left="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退还失败的，由保证金代理银行办理保证金人工线下退款。</w:t>
      </w:r>
    </w:p>
    <w:p>
      <w:pPr>
        <w:spacing w:before="227" w:line="358" w:lineRule="auto"/>
        <w:ind w:left="10" w:firstLine="6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3.招标人或其委托的招标代理机构发布中标候选人公示后，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投标保证金管理系统将自动退还未进入中标候选人名单的投标</w:t>
      </w:r>
    </w:p>
    <w:p>
      <w:pPr>
        <w:spacing w:before="1" w:line="220" w:lineRule="auto"/>
        <w:ind w:left="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人交纳的投标保证金。</w:t>
      </w:r>
    </w:p>
    <w:p>
      <w:pPr>
        <w:spacing w:before="227" w:line="358" w:lineRule="auto"/>
        <w:ind w:left="10" w:firstLine="6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4.招标人或其委托的招标代理机构已发布中标结果公告的，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投标保证金管理系统将自动退还中标人以外的投标人交纳的投</w:t>
      </w:r>
    </w:p>
    <w:p>
      <w:pPr>
        <w:spacing w:before="1" w:line="220" w:lineRule="auto"/>
        <w:ind w:left="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标保证金。</w:t>
      </w:r>
    </w:p>
    <w:p>
      <w:pPr>
        <w:spacing w:before="228" w:line="357" w:lineRule="auto"/>
        <w:ind w:left="10" w:right="30" w:firstLine="6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5.招标人与中标人已签订合同并上传电子平台的，或已发出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中标通知书但未签订合同的，招标人或其委托的招标代理机构手</w:t>
      </w:r>
    </w:p>
    <w:p>
      <w:pPr>
        <w:spacing w:before="1" w:line="219" w:lineRule="auto"/>
        <w:ind w:left="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动在线退还中标人投标保证金。</w:t>
      </w:r>
    </w:p>
    <w:p>
      <w:pPr>
        <w:spacing w:before="231" w:line="603" w:lineRule="exact"/>
        <w:ind w:left="62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position w:val="22"/>
          <w:sz w:val="31"/>
          <w:szCs w:val="31"/>
        </w:rPr>
        <w:t>6.招标人或其委托的招标代理机构最迟在合同签订后5日内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退还中标人交纳的投标保证金。</w:t>
      </w:r>
    </w:p>
    <w:p>
      <w:pPr>
        <w:spacing w:before="230" w:line="222" w:lineRule="auto"/>
        <w:ind w:left="7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8"/>
          <w:sz w:val="31"/>
          <w:szCs w:val="31"/>
        </w:rPr>
        <w:t>(三)特殊退还程序</w:t>
      </w:r>
    </w:p>
    <w:p>
      <w:pPr>
        <w:spacing w:before="245" w:line="219" w:lineRule="auto"/>
        <w:ind w:left="62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1.投标人涉嫌违法违规或被投诉的，在调查处理期间，项目</w:t>
      </w:r>
    </w:p>
    <w:p>
      <w:pPr>
        <w:sectPr>
          <w:footerReference r:id="rId8" w:type="default"/>
          <w:pgSz w:w="12240" w:h="16830"/>
          <w:pgMar w:top="1430" w:right="1775" w:bottom="1247" w:left="1579" w:header="0" w:footer="940" w:gutter="0"/>
          <w:cols w:space="720" w:num="1"/>
        </w:sectPr>
      </w:pPr>
    </w:p>
    <w:p>
      <w:pPr>
        <w:spacing w:line="254" w:lineRule="auto"/>
        <w:rPr>
          <w:rFonts w:ascii="Arial"/>
          <w:sz w:val="21"/>
        </w:rPr>
      </w:pPr>
    </w:p>
    <w:p>
      <w:pPr>
        <w:spacing w:line="254" w:lineRule="auto"/>
        <w:rPr>
          <w:rFonts w:ascii="Arial"/>
          <w:sz w:val="21"/>
        </w:rPr>
      </w:pPr>
    </w:p>
    <w:p>
      <w:pPr>
        <w:spacing w:line="254" w:lineRule="auto"/>
        <w:rPr>
          <w:rFonts w:ascii="Arial"/>
          <w:sz w:val="21"/>
        </w:rPr>
      </w:pPr>
    </w:p>
    <w:p>
      <w:pPr>
        <w:spacing w:before="104" w:line="346" w:lineRule="auto"/>
        <w:ind w:right="284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监督部门应及时通知呼伦贝尔市公共资源交易中心、招标人或其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委托的招标代理机构，暂不退还投标人投标保证金。待项目监督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sz w:val="32"/>
          <w:szCs w:val="32"/>
        </w:rPr>
        <w:t>部门出具调查处理结果后，招标人或其委托的招标</w:t>
      </w:r>
      <w:r>
        <w:rPr>
          <w:rFonts w:ascii="仿宋" w:hAnsi="仿宋" w:eastAsia="仿宋" w:cs="仿宋"/>
          <w:spacing w:val="-4"/>
          <w:sz w:val="32"/>
          <w:szCs w:val="32"/>
        </w:rPr>
        <w:t>代理机构根据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处理意见，若需退还投标保证金的，应向呼伦贝尔市公共资源交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易中心提出申请，及时将投标保证金退还至投标人。</w:t>
      </w:r>
    </w:p>
    <w:p>
      <w:pPr>
        <w:spacing w:before="230" w:line="346" w:lineRule="auto"/>
        <w:ind w:right="275" w:firstLine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2.招标人因特殊情况要求所有投标人延长投</w:t>
      </w:r>
      <w:r>
        <w:rPr>
          <w:rFonts w:ascii="仿宋" w:hAnsi="仿宋" w:eastAsia="仿宋" w:cs="仿宋"/>
          <w:spacing w:val="-3"/>
          <w:sz w:val="32"/>
          <w:szCs w:val="32"/>
        </w:rPr>
        <w:t>标有效期，并相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应延长投标保证金有效期的，须在正常退还程序启动之前书面告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知呼伦贝尔市公共资源交易中心及投标人。若投标人书面表达拒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绝延长并放弃投标的，招标人或其委托的招标代理机构应将投标</w:t>
      </w:r>
    </w:p>
    <w:p>
      <w:pPr>
        <w:spacing w:before="1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保证金退还至投标人。</w:t>
      </w:r>
    </w:p>
    <w:p>
      <w:pPr>
        <w:spacing w:before="226" w:line="221" w:lineRule="auto"/>
        <w:ind w:left="76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9"/>
          <w:sz w:val="32"/>
          <w:szCs w:val="32"/>
        </w:rPr>
        <w:t>(四)投标人有下列情形之一的，不予退还投标保证金</w:t>
      </w:r>
    </w:p>
    <w:p>
      <w:pPr>
        <w:spacing w:before="215" w:line="605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8"/>
          <w:position w:val="21"/>
          <w:sz w:val="32"/>
          <w:szCs w:val="32"/>
        </w:rPr>
        <w:t>1.投标人在规定的投标有效期内撤销(放弃中标)或修改其</w:t>
      </w:r>
    </w:p>
    <w:p>
      <w:pPr>
        <w:spacing w:before="1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sz w:val="32"/>
          <w:szCs w:val="32"/>
        </w:rPr>
        <w:t>投标文件。</w:t>
      </w:r>
    </w:p>
    <w:p>
      <w:pPr>
        <w:spacing w:before="209" w:line="603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position w:val="21"/>
          <w:sz w:val="32"/>
          <w:szCs w:val="32"/>
        </w:rPr>
        <w:t>2.中标人在收到中标通知书后，无正当理由拒签合同协议书</w:t>
      </w:r>
    </w:p>
    <w:p>
      <w:pPr>
        <w:spacing w:before="1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或未按招标文件规定提交履约担保。</w:t>
      </w:r>
    </w:p>
    <w:p>
      <w:pPr>
        <w:spacing w:before="216" w:line="599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position w:val="20"/>
          <w:sz w:val="32"/>
          <w:szCs w:val="32"/>
        </w:rPr>
        <w:t>3.投标人提交了虚假资料、借用他人资质投标或出借资质给</w:t>
      </w:r>
    </w:p>
    <w:p>
      <w:pPr>
        <w:spacing w:before="1" w:line="219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他人投标、围标串标的。</w:t>
      </w:r>
    </w:p>
    <w:p>
      <w:pPr>
        <w:spacing w:before="225" w:line="222" w:lineRule="auto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4.招标人由于上述等原因不同意退还的。</w:t>
      </w:r>
    </w:p>
    <w:p>
      <w:pPr>
        <w:spacing w:before="223" w:line="222" w:lineRule="auto"/>
        <w:ind w:left="62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21"/>
          <w:sz w:val="32"/>
          <w:szCs w:val="32"/>
        </w:rPr>
        <w:t>五、</w:t>
      </w:r>
      <w:r>
        <w:rPr>
          <w:rFonts w:ascii="黑体" w:hAnsi="黑体" w:eastAsia="黑体" w:cs="黑体"/>
          <w:spacing w:val="-68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21"/>
          <w:sz w:val="32"/>
          <w:szCs w:val="32"/>
        </w:rPr>
        <w:t>其他事宜</w:t>
      </w:r>
    </w:p>
    <w:p>
      <w:pPr>
        <w:spacing w:before="214" w:line="600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position w:val="20"/>
          <w:sz w:val="32"/>
          <w:szCs w:val="32"/>
        </w:rPr>
        <w:t>1.投标人采用保函方式交纳投标保证金的，保函应为“见索</w:t>
      </w:r>
    </w:p>
    <w:p>
      <w:pPr>
        <w:spacing w:before="2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即付”类保函，否则招标人有权拒收；被招标人拒收保函的投标</w:t>
      </w:r>
    </w:p>
    <w:p>
      <w:pPr>
        <w:sectPr>
          <w:footerReference r:id="rId9" w:type="default"/>
          <w:pgSz w:w="12500" w:h="17020"/>
          <w:pgMar w:top="1446" w:right="1875" w:bottom="1260" w:left="1469" w:header="0" w:footer="1004" w:gutter="0"/>
          <w:cols w:space="720" w:num="1"/>
        </w:sectPr>
      </w:pPr>
    </w:p>
    <w:p>
      <w:pPr>
        <w:spacing w:line="325" w:lineRule="auto"/>
        <w:rPr>
          <w:rFonts w:ascii="Arial"/>
          <w:sz w:val="21"/>
        </w:rPr>
      </w:pPr>
    </w:p>
    <w:p>
      <w:pPr>
        <w:spacing w:line="326" w:lineRule="auto"/>
        <w:rPr>
          <w:rFonts w:ascii="Arial"/>
          <w:sz w:val="21"/>
        </w:rPr>
      </w:pPr>
    </w:p>
    <w:p>
      <w:pPr>
        <w:spacing w:before="10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人，其投标作为无效投标处理。</w:t>
      </w:r>
    </w:p>
    <w:p>
      <w:pPr>
        <w:spacing w:before="218" w:line="353" w:lineRule="auto"/>
        <w:ind w:right="33" w:firstLine="62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2.由于账户异常等原因在呼伦贝尔市和旗市</w:t>
      </w:r>
      <w:r>
        <w:rPr>
          <w:rFonts w:ascii="仿宋" w:hAnsi="仿宋" w:eastAsia="仿宋" w:cs="仿宋"/>
          <w:spacing w:val="16"/>
          <w:sz w:val="31"/>
          <w:szCs w:val="31"/>
        </w:rPr>
        <w:t>区公共资源交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易一体化平台保证金管理系统中无法退款成功</w:t>
      </w:r>
      <w:r>
        <w:rPr>
          <w:rFonts w:ascii="仿宋" w:hAnsi="仿宋" w:eastAsia="仿宋" w:cs="仿宋"/>
          <w:spacing w:val="4"/>
          <w:sz w:val="31"/>
          <w:szCs w:val="31"/>
        </w:rPr>
        <w:t>的，可申请人工线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下退款。</w:t>
      </w:r>
    </w:p>
    <w:p>
      <w:pPr>
        <w:spacing w:before="208" w:line="594" w:lineRule="exact"/>
        <w:ind w:left="62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position w:val="21"/>
          <w:sz w:val="31"/>
          <w:szCs w:val="31"/>
        </w:rPr>
        <w:t>六、本制度由呼伦贝尔市公共资源交易管理工作联席会</w:t>
      </w:r>
      <w:r>
        <w:rPr>
          <w:rFonts w:ascii="仿宋" w:hAnsi="仿宋" w:eastAsia="仿宋" w:cs="仿宋"/>
          <w:b/>
          <w:bCs/>
          <w:spacing w:val="2"/>
          <w:position w:val="21"/>
          <w:sz w:val="31"/>
          <w:szCs w:val="31"/>
        </w:rPr>
        <w:t>议办</w:t>
      </w:r>
    </w:p>
    <w:p>
      <w:pPr>
        <w:spacing w:line="222" w:lineRule="auto"/>
        <w:ind w:left="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公室负责解释。</w:t>
      </w:r>
    </w:p>
    <w:p>
      <w:pPr>
        <w:spacing w:before="214" w:line="222" w:lineRule="auto"/>
        <w:ind w:left="624"/>
        <w:outlineLvl w:val="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七、本制度自印发之日起实施。</w:t>
      </w:r>
    </w:p>
    <w:sectPr>
      <w:footerReference r:id="rId10" w:type="default"/>
      <w:pgSz w:w="12240" w:h="16830"/>
      <w:pgMar w:top="1430" w:right="1814" w:bottom="1247" w:left="1579" w:header="0" w:footer="93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1" w:lineRule="auto"/>
      <w:ind w:left="4140"/>
      <w:rPr>
        <w:rFonts w:ascii="仿宋" w:hAnsi="仿宋" w:eastAsia="仿宋" w:cs="仿宋"/>
        <w:sz w:val="25"/>
        <w:szCs w:val="25"/>
      </w:rPr>
    </w:pPr>
    <w:r>
      <w:rPr>
        <w:rFonts w:ascii="仿宋" w:hAnsi="仿宋" w:eastAsia="仿宋" w:cs="仿宋"/>
        <w:spacing w:val="-12"/>
        <w:sz w:val="25"/>
        <w:szCs w:val="25"/>
      </w:rPr>
      <w:t>—</w:t>
    </w:r>
    <w:r>
      <w:rPr>
        <w:rFonts w:ascii="仿宋" w:hAnsi="仿宋" w:eastAsia="仿宋" w:cs="仿宋"/>
        <w:spacing w:val="-98"/>
        <w:sz w:val="25"/>
        <w:szCs w:val="25"/>
      </w:rPr>
      <w:t xml:space="preserve"> </w:t>
    </w:r>
    <w:r>
      <w:rPr>
        <w:rFonts w:ascii="仿宋" w:hAnsi="仿宋" w:eastAsia="仿宋" w:cs="仿宋"/>
        <w:spacing w:val="-12"/>
        <w:sz w:val="25"/>
        <w:szCs w:val="25"/>
      </w:rPr>
      <w:t>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16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9"/>
        <w:w w:val="93"/>
        <w:sz w:val="31"/>
        <w:szCs w:val="31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260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1"/>
        <w:w w:val="96"/>
        <w:sz w:val="30"/>
        <w:szCs w:val="30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2" w:lineRule="auto"/>
      <w:ind w:left="413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6"/>
        <w:w w:val="91"/>
        <w:sz w:val="31"/>
        <w:szCs w:val="31"/>
      </w:rPr>
      <w:t>—4—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left="4140"/>
      <w:rPr>
        <w:rFonts w:ascii="宋体" w:hAnsi="宋体" w:eastAsia="宋体" w:cs="宋体"/>
        <w:sz w:val="26"/>
        <w:szCs w:val="26"/>
      </w:rPr>
    </w:pPr>
    <w:r>
      <w:rPr>
        <w:rFonts w:ascii="宋体" w:hAnsi="宋体" w:eastAsia="宋体" w:cs="宋体"/>
        <w:spacing w:val="-10"/>
        <w:sz w:val="26"/>
        <w:szCs w:val="26"/>
      </w:rPr>
      <w:t>—5—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13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9"/>
        <w:w w:val="94"/>
        <w:sz w:val="31"/>
        <w:szCs w:val="31"/>
      </w:rPr>
      <w:t>—6—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Y2OGQ4ZTUyNGZkMGFkYmVmOGZmMWMxMjEyYjM2NzMifQ=="/>
  </w:docVars>
  <w:rsids>
    <w:rsidRoot w:val="00000000"/>
    <w:rsid w:val="649D36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2076</Words>
  <Characters>2101</Characters>
  <TotalTime>0</TotalTime>
  <ScaleCrop>false</ScaleCrop>
  <LinksUpToDate>false</LinksUpToDate>
  <CharactersWithSpaces>2155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2023-07-27T11:50:00Z</dcterms:created>
  <dc:creator>Kingsoft-PDF</dc:creator>
  <cp:lastModifiedBy>WPS_1686811816</cp:lastModifiedBy>
  <dcterms:modified xsi:type="dcterms:W3CDTF">2023-07-27T03:53:52Z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2023-07-27T11:50:22Z</vt:filetime>
  </property>
  <property fmtid="{D5CDD505-2E9C-101B-9397-08002B2CF9AE}" pid="4" name="UsrData">
    <vt:lpwstr>64c1e977423552001fcd55e7wl</vt:lpwstr>
  </property>
  <property fmtid="{D5CDD505-2E9C-101B-9397-08002B2CF9AE}" pid="5" name="KSOProductBuildVer">
    <vt:lpwstr>2052-11.1.0.14309</vt:lpwstr>
  </property>
  <property fmtid="{D5CDD505-2E9C-101B-9397-08002B2CF9AE}" pid="6" name="ICV">
    <vt:lpwstr>B65A5F9646D64BDD801E087CDCFBB5AC_12</vt:lpwstr>
  </property>
</Properties>
</file>