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880" w:firstLineChars="200"/>
        <w:jc w:val="center"/>
        <w:textAlignment w:val="baseline"/>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2024年呼伦贝尔市“虫口夺粮”</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880" w:firstLineChars="200"/>
        <w:jc w:val="center"/>
        <w:textAlignment w:val="baseline"/>
        <w:rPr>
          <w:rFonts w:hint="default" w:ascii="Times New Roman" w:hAnsi="Times New Roman" w:eastAsia="仿宋_GB2312" w:cs="Times New Roman"/>
          <w:sz w:val="44"/>
          <w:szCs w:val="44"/>
          <w:lang w:eastAsia="zh-CN"/>
        </w:rPr>
      </w:pPr>
      <w:r>
        <w:rPr>
          <w:rFonts w:hint="eastAsia" w:ascii="方正小标宋简体" w:hAnsi="方正小标宋简体" w:eastAsia="方正小标宋简体" w:cs="方正小标宋简体"/>
          <w:sz w:val="44"/>
          <w:szCs w:val="44"/>
          <w:lang w:eastAsia="zh-CN"/>
        </w:rPr>
        <w:t>保丰收行动方案</w:t>
      </w:r>
    </w:p>
    <w:p>
      <w:pPr>
        <w:keepNext w:val="0"/>
        <w:keepLines w:val="0"/>
        <w:pageBreakBefore w:val="0"/>
        <w:widowControl w:val="0"/>
        <w:kinsoku w:val="0"/>
        <w:wordWrap/>
        <w:overflowPunct/>
        <w:topLinePunct w:val="0"/>
        <w:autoSpaceDE w:val="0"/>
        <w:autoSpaceDN w:val="0"/>
        <w:bidi w:val="0"/>
        <w:adjustRightInd w:val="0"/>
        <w:snapToGrid w:val="0"/>
        <w:spacing w:line="580" w:lineRule="exact"/>
        <w:jc w:val="both"/>
        <w:textAlignment w:val="baseline"/>
        <w:rPr>
          <w:rFonts w:hint="default" w:ascii="Times New Roman" w:hAnsi="Times New Roman" w:eastAsia="仿宋_GB2312" w:cs="Times New Roman"/>
          <w:lang w:eastAsia="zh-CN"/>
        </w:rPr>
      </w:pP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科学有效防控病虫害是减损失、提单产、</w:t>
      </w:r>
      <w:r>
        <w:rPr>
          <w:rFonts w:hint="default" w:ascii="Times New Roman" w:hAnsi="Times New Roman" w:eastAsia="仿宋_GB2312" w:cs="Times New Roman"/>
          <w:sz w:val="32"/>
          <w:szCs w:val="32"/>
          <w:highlight w:val="none"/>
          <w:lang w:eastAsia="zh-CN"/>
        </w:rPr>
        <w:t>促丰收的关键措施。</w:t>
      </w:r>
      <w:r>
        <w:rPr>
          <w:rFonts w:hint="default" w:ascii="仿宋_GB2312" w:hAnsi="微软雅黑" w:eastAsia="仿宋_GB2312" w:cs="宋体"/>
          <w:color w:val="auto"/>
          <w:kern w:val="0"/>
          <w:sz w:val="32"/>
          <w:szCs w:val="32"/>
          <w:highlight w:val="none"/>
          <w:lang w:val="en-US" w:eastAsia="zh-CN" w:bidi="ar-SA"/>
        </w:rPr>
        <w:t>2024年</w:t>
      </w:r>
      <w:r>
        <w:rPr>
          <w:rFonts w:hint="eastAsia" w:ascii="Times New Roman" w:hAnsi="Times New Roman" w:eastAsia="仿宋_GB2312" w:cs="Times New Roman"/>
          <w:sz w:val="32"/>
          <w:szCs w:val="32"/>
          <w:highlight w:val="none"/>
          <w:lang w:eastAsia="zh-CN"/>
        </w:rPr>
        <w:t>呼伦贝尔市</w:t>
      </w:r>
      <w:r>
        <w:rPr>
          <w:rFonts w:hint="default" w:ascii="Times New Roman" w:hAnsi="Times New Roman" w:eastAsia="仿宋_GB2312" w:cs="Times New Roman"/>
          <w:sz w:val="32"/>
          <w:szCs w:val="32"/>
          <w:lang w:eastAsia="zh-CN"/>
        </w:rPr>
        <w:t>大豆根腐病</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highlight w:val="none"/>
          <w:lang w:val="en-US" w:eastAsia="zh-CN"/>
        </w:rPr>
        <w:t>玉米大斑病、</w:t>
      </w:r>
      <w:r>
        <w:rPr>
          <w:rFonts w:hint="default" w:ascii="Times New Roman" w:hAnsi="Times New Roman" w:eastAsia="仿宋_GB2312" w:cs="Times New Roman"/>
          <w:sz w:val="32"/>
          <w:szCs w:val="32"/>
          <w:highlight w:val="none"/>
          <w:lang w:eastAsia="zh-CN"/>
        </w:rPr>
        <w:t>玉米</w:t>
      </w:r>
      <w:bookmarkStart w:id="3" w:name="_GoBack"/>
      <w:bookmarkEnd w:id="3"/>
      <w:r>
        <w:rPr>
          <w:rFonts w:hint="default" w:ascii="Times New Roman" w:hAnsi="Times New Roman" w:eastAsia="仿宋_GB2312" w:cs="Times New Roman"/>
          <w:sz w:val="32"/>
          <w:szCs w:val="32"/>
          <w:highlight w:val="none"/>
          <w:lang w:eastAsia="zh-CN"/>
        </w:rPr>
        <w:t>螟</w:t>
      </w:r>
      <w:r>
        <w:rPr>
          <w:rFonts w:hint="default" w:ascii="Times New Roman" w:hAnsi="Times New Roman" w:eastAsia="仿宋_GB2312" w:cs="Times New Roman"/>
          <w:sz w:val="32"/>
          <w:szCs w:val="32"/>
          <w:lang w:eastAsia="zh-CN"/>
        </w:rPr>
        <w:t>等重大病虫害局部呈中等发生态势，对粮油生产构成严重威胁。为科学有效防控农作物病虫灾害，扎实推进农药减量增效，保障粮食和重要农产品稳定安全供给，特制定本方案。</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一、发生形势</w:t>
      </w:r>
    </w:p>
    <w:p>
      <w:pPr>
        <w:keepNext w:val="0"/>
        <w:keepLines w:val="0"/>
        <w:pageBreakBefore w:val="0"/>
        <w:widowControl w:val="0"/>
        <w:shd w:val="clear" w:color="auto" w:fill="auto"/>
        <w:kinsoku/>
        <w:wordWrap/>
        <w:overflowPunct/>
        <w:topLinePunct w:val="0"/>
        <w:autoSpaceDE/>
        <w:autoSpaceDN/>
        <w:bidi w:val="0"/>
        <w:adjustRightInd w:val="0"/>
        <w:snapToGrid w:val="0"/>
        <w:spacing w:line="580" w:lineRule="exact"/>
        <w:ind w:left="0" w:firstLine="640" w:firstLineChars="200"/>
        <w:jc w:val="both"/>
        <w:textAlignment w:val="auto"/>
        <w:rPr>
          <w:rFonts w:hint="default" w:ascii="仿宋_GB2312" w:hAnsi="微软雅黑" w:eastAsia="仿宋_GB2312" w:cs="宋体"/>
          <w:color w:val="auto"/>
          <w:kern w:val="0"/>
          <w:sz w:val="32"/>
          <w:szCs w:val="32"/>
          <w:highlight w:val="none"/>
          <w:lang w:val="en-US" w:eastAsia="zh-CN" w:bidi="ar-SA"/>
        </w:rPr>
      </w:pPr>
      <w:r>
        <w:rPr>
          <w:rFonts w:hint="eastAsia" w:ascii="仿宋_GB2312" w:hAnsi="微软雅黑" w:eastAsia="仿宋_GB2312" w:cs="宋体"/>
          <w:color w:val="auto"/>
          <w:kern w:val="0"/>
          <w:sz w:val="32"/>
          <w:szCs w:val="32"/>
          <w:highlight w:val="none"/>
          <w:lang w:val="en-US" w:eastAsia="zh-CN" w:bidi="ar-SA"/>
        </w:rPr>
        <w:t>根</w:t>
      </w:r>
      <w:r>
        <w:rPr>
          <w:rFonts w:hint="default" w:ascii="仿宋_GB2312" w:hAnsi="微软雅黑" w:eastAsia="仿宋_GB2312" w:cs="宋体"/>
          <w:color w:val="auto"/>
          <w:kern w:val="0"/>
          <w:sz w:val="32"/>
          <w:szCs w:val="32"/>
          <w:highlight w:val="none"/>
          <w:lang w:val="en-US" w:eastAsia="zh-CN" w:bidi="ar-SA"/>
        </w:rPr>
        <w:t>据全</w:t>
      </w:r>
      <w:r>
        <w:rPr>
          <w:rFonts w:hint="eastAsia" w:ascii="仿宋_GB2312" w:hAnsi="微软雅黑" w:eastAsia="仿宋_GB2312" w:cs="宋体"/>
          <w:color w:val="auto"/>
          <w:kern w:val="0"/>
          <w:sz w:val="32"/>
          <w:szCs w:val="32"/>
          <w:highlight w:val="none"/>
          <w:lang w:val="en-US" w:eastAsia="zh-CN" w:bidi="ar-SA"/>
        </w:rPr>
        <w:t>市</w:t>
      </w:r>
      <w:r>
        <w:rPr>
          <w:rFonts w:hint="default" w:ascii="仿宋_GB2312" w:hAnsi="微软雅黑" w:eastAsia="仿宋_GB2312" w:cs="宋体"/>
          <w:color w:val="auto"/>
          <w:kern w:val="0"/>
          <w:sz w:val="32"/>
          <w:szCs w:val="32"/>
          <w:highlight w:val="none"/>
          <w:lang w:val="en-US" w:eastAsia="zh-CN" w:bidi="ar-SA"/>
        </w:rPr>
        <w:t>农作物病虫害监测点越冬基数调查</w:t>
      </w:r>
      <w:r>
        <w:rPr>
          <w:rFonts w:hint="eastAsia" w:ascii="仿宋_GB2312" w:hAnsi="微软雅黑" w:eastAsia="仿宋_GB2312" w:cs="宋体"/>
          <w:color w:val="auto"/>
          <w:kern w:val="0"/>
          <w:sz w:val="32"/>
          <w:szCs w:val="32"/>
          <w:highlight w:val="none"/>
          <w:lang w:val="en-US" w:eastAsia="zh-CN" w:bidi="ar-SA"/>
        </w:rPr>
        <w:t>，结合农作物布局、种植制度和气候等因素综合分析，</w:t>
      </w:r>
      <w:r>
        <w:rPr>
          <w:rFonts w:hint="default" w:ascii="仿宋_GB2312" w:hAnsi="微软雅黑" w:eastAsia="仿宋_GB2312" w:cs="宋体"/>
          <w:color w:val="auto"/>
          <w:kern w:val="0"/>
          <w:sz w:val="32"/>
          <w:szCs w:val="32"/>
          <w:highlight w:val="none"/>
          <w:lang w:val="en-US" w:eastAsia="zh-CN" w:bidi="ar-SA"/>
        </w:rPr>
        <w:t>预计2024年全</w:t>
      </w:r>
      <w:r>
        <w:rPr>
          <w:rFonts w:hint="eastAsia" w:ascii="仿宋_GB2312" w:hAnsi="微软雅黑" w:eastAsia="仿宋_GB2312" w:cs="宋体"/>
          <w:color w:val="auto"/>
          <w:kern w:val="0"/>
          <w:sz w:val="32"/>
          <w:szCs w:val="32"/>
          <w:highlight w:val="none"/>
          <w:lang w:val="en-US" w:eastAsia="zh-CN" w:bidi="ar-SA"/>
        </w:rPr>
        <w:t>市农作物主要病虫害总体中等发生，</w:t>
      </w:r>
      <w:r>
        <w:rPr>
          <w:rFonts w:hint="default" w:ascii="仿宋_GB2312" w:hAnsi="微软雅黑" w:eastAsia="仿宋_GB2312" w:cs="宋体"/>
          <w:color w:val="auto"/>
          <w:kern w:val="0"/>
          <w:sz w:val="32"/>
          <w:szCs w:val="32"/>
          <w:highlight w:val="none"/>
          <w:lang w:val="en-US" w:eastAsia="zh-CN" w:bidi="ar-SA"/>
        </w:rPr>
        <w:t>预计发生面积约</w:t>
      </w:r>
      <w:r>
        <w:rPr>
          <w:rFonts w:hint="eastAsia" w:ascii="仿宋_GB2312" w:hAnsi="微软雅黑" w:eastAsia="仿宋_GB2312" w:cs="宋体"/>
          <w:color w:val="auto"/>
          <w:kern w:val="0"/>
          <w:sz w:val="32"/>
          <w:szCs w:val="32"/>
          <w:highlight w:val="none"/>
          <w:lang w:val="en-US" w:eastAsia="zh-CN" w:bidi="ar-SA"/>
        </w:rPr>
        <w:t>1653万</w:t>
      </w:r>
      <w:r>
        <w:rPr>
          <w:rFonts w:hint="default" w:ascii="仿宋_GB2312" w:hAnsi="微软雅黑" w:eastAsia="仿宋_GB2312" w:cs="宋体"/>
          <w:color w:val="auto"/>
          <w:kern w:val="0"/>
          <w:sz w:val="32"/>
          <w:szCs w:val="32"/>
          <w:highlight w:val="none"/>
          <w:lang w:val="en-US" w:eastAsia="zh-CN" w:bidi="ar-SA"/>
        </w:rPr>
        <w:t>亩次，需加大组织力度，采取有效措施，坚决遏制暴发危害势头，最大限度降低危害损失，实现</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虫口夺粮</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保丰收。</w:t>
      </w:r>
    </w:p>
    <w:p>
      <w:pPr>
        <w:keepNext w:val="0"/>
        <w:keepLines w:val="0"/>
        <w:pageBreakBefore w:val="0"/>
        <w:widowControl w:val="0"/>
        <w:shd w:val="clear" w:color="auto" w:fill="auto"/>
        <w:kinsoku/>
        <w:wordWrap/>
        <w:overflowPunct/>
        <w:topLinePunct w:val="0"/>
        <w:autoSpaceDE/>
        <w:autoSpaceDN/>
        <w:bidi w:val="0"/>
        <w:adjustRightInd w:val="0"/>
        <w:snapToGrid w:val="0"/>
        <w:spacing w:line="580" w:lineRule="exact"/>
        <w:ind w:left="0" w:firstLine="640" w:firstLineChars="200"/>
        <w:textAlignment w:val="auto"/>
        <w:rPr>
          <w:rFonts w:hint="eastAsia" w:ascii="仿宋_GB2312" w:hAnsi="微软雅黑" w:eastAsia="仿宋_GB2312" w:cs="宋体"/>
          <w:color w:val="auto"/>
          <w:kern w:val="0"/>
          <w:sz w:val="32"/>
          <w:szCs w:val="32"/>
          <w:highlight w:val="none"/>
          <w:lang w:val="en-US" w:eastAsia="zh-CN" w:bidi="ar-SA"/>
        </w:rPr>
      </w:pPr>
      <w:r>
        <w:rPr>
          <w:rFonts w:hint="eastAsia" w:ascii="楷体_GB2312" w:hAnsi="楷体_GB2312" w:eastAsia="楷体_GB2312" w:cs="楷体_GB2312"/>
          <w:sz w:val="32"/>
          <w:szCs w:val="32"/>
          <w:lang w:eastAsia="zh-CN"/>
        </w:rPr>
        <w:t>（一）大豆主要病虫害。</w:t>
      </w:r>
      <w:r>
        <w:rPr>
          <w:rFonts w:hint="default" w:ascii="仿宋_GB2312" w:hAnsi="微软雅黑" w:eastAsia="仿宋_GB2312" w:cs="宋体"/>
          <w:color w:val="auto"/>
          <w:kern w:val="0"/>
          <w:sz w:val="32"/>
          <w:szCs w:val="32"/>
          <w:highlight w:val="none"/>
          <w:lang w:val="en-US" w:eastAsia="zh-CN" w:bidi="ar-SA"/>
        </w:rPr>
        <w:t>预计202</w:t>
      </w:r>
      <w:r>
        <w:rPr>
          <w:rFonts w:hint="eastAsia" w:ascii="仿宋_GB2312" w:hAnsi="微软雅黑" w:eastAsia="仿宋_GB2312" w:cs="宋体"/>
          <w:color w:val="auto"/>
          <w:kern w:val="0"/>
          <w:sz w:val="32"/>
          <w:szCs w:val="32"/>
          <w:highlight w:val="none"/>
          <w:lang w:val="en-US" w:eastAsia="zh-CN" w:bidi="ar-SA"/>
        </w:rPr>
        <w:t>4</w:t>
      </w:r>
      <w:r>
        <w:rPr>
          <w:rFonts w:hint="default" w:ascii="仿宋_GB2312" w:hAnsi="微软雅黑" w:eastAsia="仿宋_GB2312" w:cs="宋体"/>
          <w:color w:val="auto"/>
          <w:kern w:val="0"/>
          <w:sz w:val="32"/>
          <w:szCs w:val="32"/>
          <w:highlight w:val="none"/>
          <w:lang w:val="en-US" w:eastAsia="zh-CN" w:bidi="ar-SA"/>
        </w:rPr>
        <w:t>年</w:t>
      </w:r>
      <w:r>
        <w:rPr>
          <w:rFonts w:hint="eastAsia" w:ascii="仿宋_GB2312" w:hAnsi="微软雅黑" w:eastAsia="仿宋_GB2312" w:cs="宋体"/>
          <w:color w:val="auto"/>
          <w:kern w:val="0"/>
          <w:sz w:val="32"/>
          <w:szCs w:val="32"/>
          <w:highlight w:val="none"/>
          <w:lang w:val="en-US" w:eastAsia="zh-CN" w:bidi="ar-SA"/>
        </w:rPr>
        <w:t>全市</w:t>
      </w:r>
      <w:r>
        <w:rPr>
          <w:rFonts w:hint="default" w:ascii="仿宋_GB2312" w:hAnsi="微软雅黑" w:eastAsia="仿宋_GB2312" w:cs="宋体"/>
          <w:color w:val="auto"/>
          <w:kern w:val="0"/>
          <w:sz w:val="32"/>
          <w:szCs w:val="32"/>
          <w:highlight w:val="none"/>
          <w:lang w:val="en-US" w:eastAsia="zh-CN" w:bidi="ar-SA"/>
        </w:rPr>
        <w:t>大豆病虫害总体中等发生，</w:t>
      </w:r>
      <w:r>
        <w:rPr>
          <w:rFonts w:hint="eastAsia" w:ascii="仿宋_GB2312" w:hAnsi="微软雅黑" w:eastAsia="仿宋_GB2312" w:cs="宋体"/>
          <w:color w:val="auto"/>
          <w:kern w:val="0"/>
          <w:sz w:val="32"/>
          <w:szCs w:val="32"/>
          <w:highlight w:val="none"/>
          <w:lang w:val="en-US" w:eastAsia="zh-CN" w:bidi="ar-SA"/>
        </w:rPr>
        <w:t>发生面积590万亩次，主要发生地区为岭东大豆主产区。其中，大豆根腐病发生面积150万亩；大豆叶斑类病害发生面积130万亩次，主要为褐斑病、灰斑病、霜霉病等；大豆菌核病发生面积50万亩次；主产区虫害主要有大豆食心虫、苜蓿夜蛾、双斑长跗萤叶甲、大豆蚜、红蜘蛛、地下害虫等，发生面积260万亩次。</w:t>
      </w:r>
    </w:p>
    <w:p>
      <w:pPr>
        <w:keepNext w:val="0"/>
        <w:keepLines w:val="0"/>
        <w:pageBreakBefore w:val="0"/>
        <w:widowControl w:val="0"/>
        <w:kinsoku/>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eastAsia" w:ascii="Times New Roman" w:hAnsi="Times New Roman" w:eastAsia="仿宋_GB2312" w:cs="Times New Roman"/>
          <w:color w:val="000000"/>
          <w:sz w:val="32"/>
          <w:szCs w:val="32"/>
          <w:lang w:eastAsia="zh-CN"/>
        </w:rPr>
      </w:pPr>
      <w:r>
        <w:rPr>
          <w:rFonts w:hint="eastAsia" w:ascii="楷体_GB2312" w:hAnsi="楷体_GB2312" w:eastAsia="楷体_GB2312" w:cs="楷体_GB2312"/>
          <w:sz w:val="32"/>
          <w:szCs w:val="32"/>
          <w:lang w:eastAsia="zh-CN"/>
        </w:rPr>
        <w:t>（二）</w:t>
      </w:r>
      <w:r>
        <w:rPr>
          <w:rFonts w:hint="eastAsia" w:ascii="楷体_GB2312" w:hAnsi="楷体_GB2312" w:eastAsia="楷体_GB2312" w:cs="楷体_GB2312"/>
          <w:sz w:val="32"/>
          <w:szCs w:val="32"/>
        </w:rPr>
        <w:t>玉米</w:t>
      </w:r>
      <w:r>
        <w:rPr>
          <w:rFonts w:hint="eastAsia" w:ascii="楷体_GB2312" w:hAnsi="楷体_GB2312" w:eastAsia="楷体_GB2312" w:cs="楷体_GB2312"/>
          <w:sz w:val="32"/>
          <w:szCs w:val="32"/>
          <w:lang w:eastAsia="zh-CN"/>
        </w:rPr>
        <w:t>主要</w:t>
      </w:r>
      <w:r>
        <w:rPr>
          <w:rFonts w:hint="eastAsia" w:ascii="楷体_GB2312" w:hAnsi="楷体_GB2312" w:eastAsia="楷体_GB2312" w:cs="楷体_GB2312"/>
          <w:sz w:val="32"/>
          <w:szCs w:val="32"/>
        </w:rPr>
        <w:t>病虫害。</w:t>
      </w:r>
      <w:r>
        <w:rPr>
          <w:rFonts w:hint="eastAsia" w:ascii="仿宋_GB2312" w:hAnsi="仿宋_GB2312" w:eastAsia="仿宋_GB2312" w:cs="仿宋_GB2312"/>
          <w:color w:val="auto"/>
          <w:kern w:val="0"/>
          <w:sz w:val="32"/>
          <w:szCs w:val="32"/>
          <w:highlight w:val="none"/>
          <w:lang w:val="en-US" w:eastAsia="zh-CN"/>
        </w:rPr>
        <w:t>预计2024年全市玉米病虫害总体中等发生，</w:t>
      </w:r>
      <w:r>
        <w:rPr>
          <w:rFonts w:hint="eastAsia" w:ascii="仿宋_GB2312" w:eastAsia="仿宋_GB2312"/>
          <w:b w:val="0"/>
          <w:bCs w:val="0"/>
          <w:color w:val="auto"/>
          <w:sz w:val="32"/>
          <w:szCs w:val="32"/>
          <w:highlight w:val="none"/>
          <w:lang w:val="en-US" w:eastAsia="zh-CN"/>
        </w:rPr>
        <w:t>发生面积820万亩次，主要发生地区为岭东玉米主产区</w:t>
      </w:r>
      <w:r>
        <w:rPr>
          <w:rFonts w:hint="eastAsia" w:ascii="仿宋_GB2312" w:hAnsi="仿宋_GB2312" w:eastAsia="仿宋_GB2312" w:cs="仿宋_GB2312"/>
          <w:color w:val="auto"/>
          <w:kern w:val="0"/>
          <w:sz w:val="32"/>
          <w:szCs w:val="32"/>
          <w:highlight w:val="none"/>
          <w:lang w:val="en-US" w:eastAsia="zh-CN"/>
        </w:rPr>
        <w:t>。</w:t>
      </w:r>
      <w:r>
        <w:rPr>
          <w:rFonts w:hint="eastAsia" w:ascii="仿宋_GB2312" w:eastAsia="仿宋_GB2312"/>
          <w:b w:val="0"/>
          <w:bCs w:val="0"/>
          <w:color w:val="auto"/>
          <w:sz w:val="32"/>
          <w:szCs w:val="32"/>
          <w:highlight w:val="none"/>
          <w:lang w:val="en-US" w:eastAsia="zh-CN"/>
        </w:rPr>
        <w:t>其中：玉米大斑病总体中等发生，局部偏重发生，发生面积200万亩；玉米弯孢霉叶斑病总体中等发生，发生面积120万亩；玉米炭疽病偏轻发生，发生面积10万亩；玉米茎基腐病偏轻发生，发生面积5万亩；玉米螟总体偏轻发生，个别品种中等发生，发生面积240万亩次；玉米蚜虫偏轻发生，发生面积45万亩次；双斑</w:t>
      </w:r>
      <w:r>
        <w:rPr>
          <w:rFonts w:hint="eastAsia" w:ascii="仿宋_GB2312" w:hAnsi="微软雅黑" w:eastAsia="仿宋_GB2312" w:cs="宋体"/>
          <w:color w:val="auto"/>
          <w:kern w:val="0"/>
          <w:sz w:val="32"/>
          <w:szCs w:val="32"/>
          <w:highlight w:val="none"/>
          <w:lang w:val="en-US" w:eastAsia="zh-CN" w:bidi="ar-SA"/>
        </w:rPr>
        <w:t>长跗</w:t>
      </w:r>
      <w:r>
        <w:rPr>
          <w:rFonts w:hint="eastAsia" w:ascii="仿宋_GB2312" w:eastAsia="仿宋_GB2312"/>
          <w:b w:val="0"/>
          <w:bCs w:val="0"/>
          <w:color w:val="auto"/>
          <w:sz w:val="32"/>
          <w:szCs w:val="32"/>
          <w:highlight w:val="none"/>
          <w:lang w:val="en-US" w:eastAsia="zh-CN"/>
        </w:rPr>
        <w:t>萤叶甲总体偏轻发生，田边地头和杂草丛生的地块有偏重发生的可能，发生面积160万亩；地下害虫偏轻发生，局部中等发生，发生面积40万亩次；</w:t>
      </w:r>
      <w:r>
        <w:rPr>
          <w:rFonts w:hint="eastAsia" w:ascii="仿宋_GB2312" w:hAnsi="仿宋_GB2312" w:eastAsia="仿宋_GB2312" w:cs="仿宋_GB2312"/>
          <w:color w:val="auto"/>
          <w:sz w:val="32"/>
          <w:szCs w:val="32"/>
          <w:highlight w:val="none"/>
          <w:shd w:val="clear" w:color="auto" w:fill="FFFFFF"/>
          <w:lang w:val="en-US" w:eastAsia="zh-CN"/>
        </w:rPr>
        <w:t>粘虫在我市为偶发性虫害，玉米主产区</w:t>
      </w:r>
      <w:r>
        <w:rPr>
          <w:rFonts w:hint="default" w:ascii="Times New Roman" w:hAnsi="Times New Roman" w:eastAsia="仿宋_GB2312" w:cs="Times New Roman"/>
          <w:color w:val="000000"/>
          <w:sz w:val="32"/>
          <w:szCs w:val="32"/>
        </w:rPr>
        <w:t>局部地区存在点片高密度发生风险</w:t>
      </w:r>
      <w:r>
        <w:rPr>
          <w:rFonts w:hint="eastAsia" w:ascii="Times New Roman" w:hAnsi="Times New Roman" w:eastAsia="仿宋_GB2312" w:cs="Times New Roman"/>
          <w:color w:val="000000"/>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lang w:eastAsia="zh-CN"/>
        </w:rPr>
      </w:pPr>
      <w:r>
        <w:rPr>
          <w:rFonts w:hint="eastAsia" w:ascii="楷体_GB2312" w:hAnsi="楷体_GB2312" w:eastAsia="楷体_GB2312" w:cs="楷体_GB2312"/>
          <w:sz w:val="32"/>
          <w:szCs w:val="32"/>
          <w:lang w:eastAsia="zh-CN"/>
        </w:rPr>
        <w:t>（三）小麦主要病虫害。</w:t>
      </w:r>
      <w:r>
        <w:rPr>
          <w:rFonts w:hint="eastAsia" w:ascii="仿宋_GB2312" w:hAnsi="仿宋_GB2312" w:eastAsia="仿宋_GB2312" w:cs="仿宋_GB2312"/>
          <w:b w:val="0"/>
          <w:bCs w:val="0"/>
          <w:color w:val="auto"/>
          <w:kern w:val="0"/>
          <w:sz w:val="32"/>
          <w:szCs w:val="32"/>
          <w:highlight w:val="none"/>
          <w:lang w:val="en-US" w:eastAsia="zh-CN"/>
        </w:rPr>
        <w:t>预计2024年全市小麦病虫害总体</w:t>
      </w:r>
      <w:r>
        <w:rPr>
          <w:rFonts w:hint="eastAsia" w:eastAsia="仿宋_GB2312"/>
          <w:b w:val="0"/>
          <w:bCs w:val="0"/>
          <w:color w:val="auto"/>
          <w:kern w:val="0"/>
          <w:sz w:val="32"/>
          <w:szCs w:val="32"/>
          <w:highlight w:val="none"/>
          <w:lang w:eastAsia="zh-CN"/>
        </w:rPr>
        <w:t>偏</w:t>
      </w:r>
      <w:r>
        <w:rPr>
          <w:rFonts w:hint="eastAsia" w:eastAsia="仿宋_GB2312"/>
          <w:b w:val="0"/>
          <w:bCs w:val="0"/>
          <w:color w:val="auto"/>
          <w:kern w:val="0"/>
          <w:sz w:val="32"/>
          <w:szCs w:val="32"/>
          <w:highlight w:val="none"/>
          <w:lang w:val="en-US" w:eastAsia="zh-CN"/>
        </w:rPr>
        <w:t>轻</w:t>
      </w:r>
      <w:r>
        <w:rPr>
          <w:rFonts w:hint="eastAsia" w:eastAsia="仿宋_GB2312"/>
          <w:b w:val="0"/>
          <w:bCs w:val="0"/>
          <w:color w:val="auto"/>
          <w:kern w:val="0"/>
          <w:sz w:val="32"/>
          <w:szCs w:val="32"/>
          <w:highlight w:val="none"/>
        </w:rPr>
        <w:t>发生</w:t>
      </w:r>
      <w:r>
        <w:rPr>
          <w:rFonts w:hint="eastAsia" w:eastAsia="仿宋_GB2312"/>
          <w:b w:val="0"/>
          <w:bCs w:val="0"/>
          <w:color w:val="auto"/>
          <w:kern w:val="0"/>
          <w:sz w:val="32"/>
          <w:szCs w:val="32"/>
          <w:highlight w:val="none"/>
          <w:lang w:eastAsia="zh-CN"/>
        </w:rPr>
        <w:t>，</w:t>
      </w:r>
      <w:r>
        <w:rPr>
          <w:rFonts w:hint="eastAsia" w:ascii="仿宋_GB2312" w:eastAsia="仿宋_GB2312"/>
          <w:b w:val="0"/>
          <w:bCs w:val="0"/>
          <w:color w:val="auto"/>
          <w:sz w:val="32"/>
          <w:szCs w:val="32"/>
          <w:highlight w:val="none"/>
          <w:lang w:val="en-US" w:eastAsia="zh-CN"/>
        </w:rPr>
        <w:t>发生面积55万亩次，以病害为主。其中：小麦赤霉病总体偏轻发生，局部中等发生，发生面积40万亩；小麦锈病轻发生，发生面积10万亩；小麦虫害主要有蚜虫、蓟马、地下害虫等，轻发生，发生面积5万亩次。</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default"/>
          <w:color w:val="auto"/>
          <w:spacing w:val="-6"/>
          <w:sz w:val="32"/>
          <w:szCs w:val="32"/>
          <w:lang w:eastAsia="zh-CN"/>
        </w:rPr>
      </w:pPr>
      <w:bookmarkStart w:id="0" w:name="_Hlk162358962"/>
      <w:r>
        <w:rPr>
          <w:rFonts w:hint="eastAsia" w:ascii="楷体_GB2312" w:hAnsi="楷体_GB2312" w:eastAsia="楷体_GB2312" w:cs="楷体_GB2312"/>
          <w:sz w:val="32"/>
          <w:szCs w:val="32"/>
          <w:lang w:eastAsia="zh-CN"/>
        </w:rPr>
        <w:t>（四）油菜主要病虫害。</w:t>
      </w:r>
      <w:bookmarkEnd w:id="0"/>
      <w:r>
        <w:rPr>
          <w:rFonts w:hint="eastAsia" w:ascii="仿宋_GB2312" w:hAnsi="仿宋_GB2312" w:eastAsia="仿宋_GB2312" w:cs="仿宋_GB2312"/>
          <w:color w:val="auto"/>
          <w:kern w:val="0"/>
          <w:sz w:val="32"/>
          <w:szCs w:val="32"/>
          <w:highlight w:val="none"/>
          <w:lang w:bidi="ar"/>
        </w:rPr>
        <w:t>预计202</w:t>
      </w:r>
      <w:r>
        <w:rPr>
          <w:rFonts w:hint="eastAsia" w:ascii="仿宋_GB2312" w:hAnsi="仿宋_GB2312" w:eastAsia="仿宋_GB2312" w:cs="仿宋_GB2312"/>
          <w:color w:val="auto"/>
          <w:kern w:val="0"/>
          <w:sz w:val="32"/>
          <w:szCs w:val="32"/>
          <w:highlight w:val="none"/>
          <w:lang w:val="en-US" w:eastAsia="zh-CN" w:bidi="ar"/>
        </w:rPr>
        <w:t>4</w:t>
      </w:r>
      <w:r>
        <w:rPr>
          <w:rFonts w:hint="eastAsia" w:ascii="仿宋_GB2312" w:hAnsi="仿宋_GB2312" w:eastAsia="仿宋_GB2312" w:cs="仿宋_GB2312"/>
          <w:color w:val="auto"/>
          <w:kern w:val="0"/>
          <w:sz w:val="32"/>
          <w:szCs w:val="32"/>
          <w:highlight w:val="none"/>
          <w:lang w:bidi="ar"/>
        </w:rPr>
        <w:t>年</w:t>
      </w:r>
      <w:r>
        <w:rPr>
          <w:rFonts w:hint="eastAsia" w:ascii="仿宋_GB2312" w:hAnsi="仿宋_GB2312" w:eastAsia="仿宋_GB2312" w:cs="仿宋_GB2312"/>
          <w:color w:val="auto"/>
          <w:kern w:val="0"/>
          <w:sz w:val="32"/>
          <w:szCs w:val="32"/>
          <w:highlight w:val="none"/>
          <w:lang w:eastAsia="zh-CN" w:bidi="ar"/>
        </w:rPr>
        <w:t>全市</w:t>
      </w:r>
      <w:r>
        <w:rPr>
          <w:rFonts w:hint="eastAsia" w:ascii="仿宋_GB2312" w:hAnsi="仿宋_GB2312" w:eastAsia="仿宋_GB2312" w:cs="仿宋_GB2312"/>
          <w:color w:val="auto"/>
          <w:kern w:val="0"/>
          <w:sz w:val="32"/>
          <w:szCs w:val="32"/>
          <w:highlight w:val="none"/>
          <w:lang w:val="en-US" w:eastAsia="zh-CN" w:bidi="ar"/>
        </w:rPr>
        <w:t>油菜</w:t>
      </w:r>
      <w:r>
        <w:rPr>
          <w:rFonts w:hint="eastAsia" w:ascii="仿宋_GB2312" w:hAnsi="仿宋_GB2312" w:eastAsia="仿宋_GB2312" w:cs="仿宋_GB2312"/>
          <w:color w:val="auto"/>
          <w:kern w:val="0"/>
          <w:sz w:val="32"/>
          <w:szCs w:val="32"/>
          <w:highlight w:val="none"/>
          <w:lang w:bidi="ar"/>
        </w:rPr>
        <w:t>病虫害总体</w:t>
      </w:r>
      <w:r>
        <w:rPr>
          <w:rFonts w:hint="eastAsia" w:ascii="仿宋_GB2312" w:eastAsia="仿宋_GB2312"/>
          <w:b w:val="0"/>
          <w:bCs w:val="0"/>
          <w:color w:val="auto"/>
          <w:sz w:val="32"/>
          <w:szCs w:val="32"/>
          <w:highlight w:val="none"/>
          <w:lang w:val="en-US" w:eastAsia="zh-CN"/>
        </w:rPr>
        <w:t>中等发生，发生面积160万亩次，主要发生地区为岭西油菜主产区。其中：油菜菌核病总体偏轻发生，发生面积20万亩；黄曲条跳甲总体中等发生，局部干旱地区有偏重发生的可能，发生面积120</w:t>
      </w:r>
      <w:r>
        <w:rPr>
          <w:rFonts w:hint="eastAsia" w:ascii="仿宋_GB2312" w:eastAsia="仿宋_GB2312"/>
          <w:b w:val="0"/>
          <w:bCs w:val="0"/>
          <w:color w:val="auto"/>
          <w:spacing w:val="-6"/>
          <w:sz w:val="32"/>
          <w:szCs w:val="32"/>
          <w:highlight w:val="none"/>
          <w:lang w:val="en-US" w:eastAsia="zh-CN"/>
        </w:rPr>
        <w:t>万亩次；小菜蛾总体偏轻发生，局部中等发生，发生面积20万亩次。</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仿宋_GB2312" w:hAnsi="微软雅黑" w:eastAsia="仿宋_GB2312" w:cs="宋体"/>
          <w:color w:val="auto"/>
          <w:kern w:val="0"/>
          <w:sz w:val="32"/>
          <w:szCs w:val="32"/>
          <w:highlight w:val="none"/>
          <w:lang w:val="en-US" w:eastAsia="zh-CN" w:bidi="ar-SA"/>
        </w:rPr>
      </w:pPr>
      <w:r>
        <w:rPr>
          <w:rFonts w:hint="eastAsia" w:ascii="楷体_GB2312" w:hAnsi="楷体_GB2312" w:eastAsia="楷体_GB2312" w:cs="楷体_GB2312"/>
          <w:sz w:val="32"/>
          <w:szCs w:val="32"/>
          <w:lang w:eastAsia="zh-CN"/>
        </w:rPr>
        <w:t>（五）马铃薯主要病虫害。</w:t>
      </w:r>
      <w:r>
        <w:rPr>
          <w:rFonts w:hint="eastAsia" w:ascii="仿宋_GB2312" w:hAnsi="微软雅黑" w:eastAsia="仿宋_GB2312" w:cs="宋体"/>
          <w:color w:val="auto"/>
          <w:kern w:val="0"/>
          <w:sz w:val="32"/>
          <w:szCs w:val="32"/>
          <w:highlight w:val="none"/>
          <w:lang w:val="en-US" w:eastAsia="zh-CN" w:bidi="ar-SA"/>
        </w:rPr>
        <w:t>预计</w:t>
      </w:r>
      <w:r>
        <w:rPr>
          <w:rFonts w:hint="default" w:ascii="仿宋_GB2312" w:hAnsi="微软雅黑" w:eastAsia="仿宋_GB2312" w:cs="宋体"/>
          <w:color w:val="auto"/>
          <w:kern w:val="0"/>
          <w:sz w:val="32"/>
          <w:szCs w:val="32"/>
          <w:highlight w:val="none"/>
          <w:lang w:val="en-US" w:eastAsia="zh-CN" w:bidi="ar-SA"/>
        </w:rPr>
        <w:t>2024年全</w:t>
      </w:r>
      <w:r>
        <w:rPr>
          <w:rFonts w:hint="eastAsia" w:ascii="仿宋_GB2312" w:hAnsi="微软雅黑" w:eastAsia="仿宋_GB2312" w:cs="宋体"/>
          <w:color w:val="auto"/>
          <w:kern w:val="0"/>
          <w:sz w:val="32"/>
          <w:szCs w:val="32"/>
          <w:highlight w:val="none"/>
          <w:lang w:val="en-US" w:eastAsia="zh-CN" w:bidi="ar-SA"/>
        </w:rPr>
        <w:t>市</w:t>
      </w:r>
      <w:r>
        <w:rPr>
          <w:rFonts w:hint="default" w:ascii="仿宋_GB2312" w:hAnsi="微软雅黑" w:eastAsia="仿宋_GB2312" w:cs="宋体"/>
          <w:color w:val="auto"/>
          <w:kern w:val="0"/>
          <w:sz w:val="32"/>
          <w:szCs w:val="32"/>
          <w:highlight w:val="none"/>
          <w:lang w:val="en-US" w:eastAsia="zh-CN" w:bidi="ar-SA"/>
        </w:rPr>
        <w:t>马铃薯病虫</w:t>
      </w:r>
      <w:r>
        <w:rPr>
          <w:rFonts w:hint="eastAsia" w:ascii="仿宋_GB2312" w:hAnsi="微软雅黑" w:eastAsia="仿宋_GB2312" w:cs="宋体"/>
          <w:color w:val="auto"/>
          <w:kern w:val="0"/>
          <w:sz w:val="32"/>
          <w:szCs w:val="32"/>
          <w:highlight w:val="none"/>
          <w:lang w:val="en-US" w:eastAsia="zh-CN" w:bidi="ar-SA"/>
        </w:rPr>
        <w:t>害总体偏轻发生，局部中等发生，发生15万亩次，以病害为主，主要发生地区为牙克石市、海拉尔区。其中：马铃薯早疫病偏轻发生，发生面积2万亩；马铃薯晚疫病偏轻发生，感病品种存在偏重流行风险，发生面积8万亩；马铃薯其他病害主要有疮痂病、黑胫病、黑痣病，病毒病、炭疽病等，发生面积4万亩次；虫害主要有地下害虫、豆芫菁等，发生面积1万亩次。</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default" w:ascii="仿宋_GB2312" w:hAnsi="微软雅黑" w:eastAsia="仿宋_GB2312" w:cs="宋体"/>
          <w:color w:val="auto"/>
          <w:kern w:val="0"/>
          <w:sz w:val="32"/>
          <w:szCs w:val="32"/>
          <w:highlight w:val="none"/>
          <w:lang w:val="en-US" w:eastAsia="zh-CN" w:bidi="ar-SA"/>
        </w:rPr>
      </w:pPr>
      <w:r>
        <w:rPr>
          <w:rFonts w:hint="eastAsia" w:ascii="楷体_GB2312" w:hAnsi="楷体_GB2312" w:eastAsia="楷体_GB2312" w:cs="楷体_GB2312"/>
          <w:sz w:val="32"/>
          <w:szCs w:val="32"/>
          <w:lang w:eastAsia="zh-CN"/>
        </w:rPr>
        <w:t>（六）水稻主要病虫害。</w:t>
      </w:r>
      <w:r>
        <w:rPr>
          <w:rFonts w:hint="eastAsia" w:ascii="仿宋_GB2312" w:hAnsi="微软雅黑" w:eastAsia="仿宋_GB2312" w:cs="宋体"/>
          <w:color w:val="auto"/>
          <w:kern w:val="0"/>
          <w:sz w:val="32"/>
          <w:szCs w:val="32"/>
          <w:highlight w:val="none"/>
          <w:lang w:val="en-US" w:eastAsia="zh-CN" w:bidi="ar-SA"/>
        </w:rPr>
        <w:t>预计</w:t>
      </w:r>
      <w:r>
        <w:rPr>
          <w:rFonts w:hint="default" w:ascii="仿宋_GB2312" w:hAnsi="微软雅黑" w:eastAsia="仿宋_GB2312" w:cs="宋体"/>
          <w:color w:val="auto"/>
          <w:kern w:val="0"/>
          <w:sz w:val="32"/>
          <w:szCs w:val="32"/>
          <w:highlight w:val="none"/>
          <w:lang w:val="en-US" w:eastAsia="zh-CN" w:bidi="ar-SA"/>
        </w:rPr>
        <w:t>2024年全</w:t>
      </w:r>
      <w:r>
        <w:rPr>
          <w:rFonts w:hint="eastAsia" w:ascii="仿宋_GB2312" w:hAnsi="微软雅黑" w:eastAsia="仿宋_GB2312" w:cs="宋体"/>
          <w:color w:val="auto"/>
          <w:kern w:val="0"/>
          <w:sz w:val="32"/>
          <w:szCs w:val="32"/>
          <w:highlight w:val="none"/>
          <w:lang w:val="en-US" w:eastAsia="zh-CN" w:bidi="ar-SA"/>
        </w:rPr>
        <w:t>市</w:t>
      </w:r>
      <w:r>
        <w:rPr>
          <w:rFonts w:hint="default" w:ascii="仿宋_GB2312" w:hAnsi="微软雅黑" w:eastAsia="仿宋_GB2312" w:cs="宋体"/>
          <w:color w:val="auto"/>
          <w:kern w:val="0"/>
          <w:sz w:val="32"/>
          <w:szCs w:val="32"/>
          <w:highlight w:val="none"/>
          <w:lang w:val="en-US" w:eastAsia="zh-CN" w:bidi="ar-SA"/>
        </w:rPr>
        <w:t>水稻病虫</w:t>
      </w:r>
      <w:r>
        <w:rPr>
          <w:rFonts w:hint="eastAsia" w:ascii="仿宋_GB2312" w:hAnsi="微软雅黑" w:eastAsia="仿宋_GB2312" w:cs="宋体"/>
          <w:color w:val="auto"/>
          <w:kern w:val="0"/>
          <w:sz w:val="32"/>
          <w:szCs w:val="32"/>
          <w:highlight w:val="none"/>
          <w:lang w:val="en-US" w:eastAsia="zh-CN" w:bidi="ar-SA"/>
        </w:rPr>
        <w:t>害</w:t>
      </w:r>
      <w:r>
        <w:rPr>
          <w:rFonts w:hint="default" w:ascii="仿宋_GB2312" w:hAnsi="微软雅黑" w:eastAsia="仿宋_GB2312" w:cs="宋体"/>
          <w:color w:val="auto"/>
          <w:kern w:val="0"/>
          <w:sz w:val="32"/>
          <w:szCs w:val="32"/>
          <w:highlight w:val="none"/>
          <w:lang w:val="en-US" w:eastAsia="zh-CN" w:bidi="ar-SA"/>
        </w:rPr>
        <w:t>偏轻发生，发生面积</w:t>
      </w:r>
      <w:r>
        <w:rPr>
          <w:rFonts w:hint="eastAsia" w:ascii="仿宋_GB2312" w:hAnsi="微软雅黑" w:eastAsia="仿宋_GB2312" w:cs="宋体"/>
          <w:color w:val="auto"/>
          <w:kern w:val="0"/>
          <w:sz w:val="32"/>
          <w:szCs w:val="32"/>
          <w:highlight w:val="none"/>
          <w:lang w:val="en-US" w:eastAsia="zh-CN" w:bidi="ar-SA"/>
        </w:rPr>
        <w:t>1</w:t>
      </w:r>
      <w:r>
        <w:rPr>
          <w:rFonts w:hint="default" w:ascii="仿宋_GB2312" w:hAnsi="微软雅黑" w:eastAsia="仿宋_GB2312" w:cs="宋体"/>
          <w:color w:val="auto"/>
          <w:kern w:val="0"/>
          <w:sz w:val="32"/>
          <w:szCs w:val="32"/>
          <w:highlight w:val="none"/>
          <w:lang w:val="en-US" w:eastAsia="zh-CN" w:bidi="ar-SA"/>
        </w:rPr>
        <w:t>0万亩次。其中，稻瘟病偏轻发生，</w:t>
      </w:r>
      <w:r>
        <w:rPr>
          <w:rFonts w:hint="eastAsia" w:ascii="仿宋_GB2312" w:hAnsi="微软雅黑" w:eastAsia="仿宋_GB2312" w:cs="宋体"/>
          <w:color w:val="auto"/>
          <w:kern w:val="0"/>
          <w:sz w:val="32"/>
          <w:szCs w:val="32"/>
          <w:highlight w:val="none"/>
          <w:lang w:val="en-US" w:eastAsia="zh-CN" w:bidi="ar-SA"/>
        </w:rPr>
        <w:t>感病品种和个别地块中等发生，发生面积5万亩</w:t>
      </w:r>
      <w:r>
        <w:rPr>
          <w:rFonts w:hint="default" w:ascii="仿宋_GB2312" w:hAnsi="微软雅黑" w:eastAsia="仿宋_GB2312" w:cs="宋体"/>
          <w:color w:val="auto"/>
          <w:kern w:val="0"/>
          <w:sz w:val="32"/>
          <w:szCs w:val="32"/>
          <w:highlight w:val="none"/>
          <w:lang w:val="en-US" w:eastAsia="zh-CN" w:bidi="ar-SA"/>
        </w:rPr>
        <w:t>；虫害轻发生，</w:t>
      </w:r>
      <w:r>
        <w:rPr>
          <w:rFonts w:hint="eastAsia" w:ascii="仿宋_GB2312" w:hAnsi="微软雅黑" w:eastAsia="仿宋_GB2312" w:cs="宋体"/>
          <w:color w:val="auto"/>
          <w:kern w:val="0"/>
          <w:sz w:val="32"/>
          <w:szCs w:val="32"/>
          <w:highlight w:val="none"/>
          <w:lang w:val="en-US" w:eastAsia="zh-CN" w:bidi="ar-SA"/>
        </w:rPr>
        <w:t>发生面积5万亩次，</w:t>
      </w:r>
      <w:r>
        <w:rPr>
          <w:rFonts w:hint="default" w:ascii="仿宋_GB2312" w:hAnsi="微软雅黑" w:eastAsia="仿宋_GB2312" w:cs="宋体"/>
          <w:color w:val="auto"/>
          <w:kern w:val="0"/>
          <w:sz w:val="32"/>
          <w:szCs w:val="32"/>
          <w:highlight w:val="none"/>
          <w:lang w:val="en-US" w:eastAsia="zh-CN" w:bidi="ar-SA"/>
        </w:rPr>
        <w:t>主要为</w:t>
      </w:r>
      <w:r>
        <w:rPr>
          <w:rFonts w:hint="eastAsia" w:ascii="仿宋_GB2312" w:hAnsi="微软雅黑" w:eastAsia="仿宋_GB2312" w:cs="宋体"/>
          <w:color w:val="auto"/>
          <w:kern w:val="0"/>
          <w:sz w:val="32"/>
          <w:szCs w:val="32"/>
          <w:highlight w:val="none"/>
          <w:lang w:val="en-US" w:eastAsia="zh-CN" w:bidi="ar-SA"/>
        </w:rPr>
        <w:t>稻潜叶蝇、</w:t>
      </w:r>
      <w:r>
        <w:rPr>
          <w:rFonts w:hint="default" w:ascii="仿宋_GB2312" w:hAnsi="微软雅黑" w:eastAsia="仿宋_GB2312" w:cs="宋体"/>
          <w:color w:val="auto"/>
          <w:kern w:val="0"/>
          <w:sz w:val="32"/>
          <w:szCs w:val="32"/>
          <w:highlight w:val="none"/>
          <w:lang w:val="en-US" w:eastAsia="zh-CN" w:bidi="ar-SA"/>
        </w:rPr>
        <w:t>稻负泥虫等，</w:t>
      </w:r>
      <w:r>
        <w:rPr>
          <w:rFonts w:hint="eastAsia" w:ascii="仿宋_GB2312" w:hAnsi="微软雅黑" w:eastAsia="仿宋_GB2312" w:cs="宋体"/>
          <w:color w:val="auto"/>
          <w:kern w:val="0"/>
          <w:sz w:val="32"/>
          <w:szCs w:val="32"/>
          <w:highlight w:val="none"/>
          <w:lang w:val="en-US" w:eastAsia="zh-CN" w:bidi="ar-SA"/>
        </w:rPr>
        <w:t>主要发生在扎兰屯市、莫旗</w:t>
      </w:r>
      <w:r>
        <w:rPr>
          <w:rFonts w:hint="default" w:ascii="仿宋_GB2312" w:hAnsi="微软雅黑" w:eastAsia="仿宋_GB2312" w:cs="宋体"/>
          <w:color w:val="auto"/>
          <w:kern w:val="0"/>
          <w:sz w:val="32"/>
          <w:szCs w:val="32"/>
          <w:highlight w:val="none"/>
          <w:lang w:val="en-US" w:eastAsia="zh-CN" w:bidi="ar-SA"/>
        </w:rPr>
        <w:t>。</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仿宋_GB2312" w:eastAsia="仿宋_GB2312"/>
          <w:b w:val="0"/>
          <w:bCs w:val="0"/>
          <w:color w:val="auto"/>
          <w:sz w:val="32"/>
          <w:szCs w:val="32"/>
          <w:highlight w:val="none"/>
          <w:lang w:val="en-US" w:eastAsia="zh-CN"/>
        </w:rPr>
      </w:pPr>
      <w:r>
        <w:rPr>
          <w:rFonts w:hint="default" w:ascii="Times New Roman" w:hAnsi="Times New Roman" w:eastAsia="仿宋_GB2312" w:cs="Times New Roman"/>
          <w:b w:val="0"/>
          <w:bCs w:val="0"/>
          <w:sz w:val="32"/>
          <w:szCs w:val="32"/>
          <w:lang w:eastAsia="zh-CN"/>
        </w:rPr>
        <w:t>此外，</w:t>
      </w:r>
      <w:r>
        <w:rPr>
          <w:rFonts w:hint="eastAsia" w:ascii="仿宋_GB2312" w:eastAsia="仿宋_GB2312"/>
          <w:b w:val="0"/>
          <w:bCs w:val="0"/>
          <w:color w:val="auto"/>
          <w:sz w:val="32"/>
          <w:szCs w:val="32"/>
          <w:highlight w:val="none"/>
          <w:lang w:eastAsia="zh-CN"/>
        </w:rPr>
        <w:t>草地螟总体</w:t>
      </w:r>
      <w:r>
        <w:rPr>
          <w:rFonts w:hint="eastAsia" w:ascii="仿宋_GB2312" w:eastAsia="仿宋_GB2312"/>
          <w:b w:val="0"/>
          <w:bCs w:val="0"/>
          <w:color w:val="auto"/>
          <w:sz w:val="32"/>
          <w:szCs w:val="32"/>
          <w:highlight w:val="none"/>
          <w:lang w:val="en-US" w:eastAsia="zh-CN"/>
        </w:rPr>
        <w:t>偏</w:t>
      </w:r>
      <w:r>
        <w:rPr>
          <w:rFonts w:hint="eastAsia" w:ascii="仿宋_GB2312" w:eastAsia="仿宋_GB2312"/>
          <w:b w:val="0"/>
          <w:bCs w:val="0"/>
          <w:color w:val="auto"/>
          <w:sz w:val="32"/>
          <w:szCs w:val="32"/>
          <w:highlight w:val="none"/>
          <w:lang w:eastAsia="zh-CN"/>
        </w:rPr>
        <w:t>轻发生，条件适宜、降水较多、成虫迁入量大的地区存在偏重发生风险；</w:t>
      </w:r>
      <w:r>
        <w:rPr>
          <w:rFonts w:hint="eastAsia" w:ascii="仿宋_GB2312" w:eastAsia="仿宋_GB2312"/>
          <w:b w:val="0"/>
          <w:bCs w:val="0"/>
          <w:color w:val="auto"/>
          <w:sz w:val="32"/>
          <w:szCs w:val="32"/>
          <w:highlight w:val="none"/>
          <w:lang w:val="en-US" w:eastAsia="zh-CN"/>
        </w:rPr>
        <w:t>土蝗总体轻发生，主要发生在扎兰屯市、阿荣旗、莫旗、海拉尔区农牧交错区。</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二、防控目标</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（一）总体思路。</w:t>
      </w:r>
      <w:r>
        <w:rPr>
          <w:rFonts w:hint="default" w:ascii="Times New Roman" w:hAnsi="Times New Roman" w:eastAsia="仿宋_GB2312" w:cs="Times New Roman"/>
          <w:sz w:val="32"/>
          <w:szCs w:val="32"/>
          <w:lang w:eastAsia="zh-CN"/>
        </w:rPr>
        <w:t>按照</w:t>
      </w:r>
      <w:r>
        <w:rPr>
          <w:rFonts w:hint="eastAsia" w:ascii="Times New Roman" w:hAnsi="Times New Roman" w:eastAsia="仿宋_GB2312" w:cs="Times New Roman"/>
          <w:sz w:val="32"/>
          <w:szCs w:val="32"/>
          <w:highlight w:val="none"/>
          <w:lang w:eastAsia="zh-CN"/>
        </w:rPr>
        <w:t>全区农村工作会议和农牧业局长会议部署</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lang w:eastAsia="zh-CN"/>
        </w:rPr>
        <w:t>充分发挥植保防灾减灾在大面积单产提升、推进种植业高质量发展等方面作用，聚焦种植业</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稳定、巩固、提升、转型</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目标任务，</w:t>
      </w:r>
      <w:r>
        <w:rPr>
          <w:rFonts w:hint="default" w:ascii="Times New Roman" w:hAnsi="Times New Roman" w:eastAsia="仿宋_GB2312" w:cs="Times New Roman"/>
          <w:sz w:val="32"/>
          <w:szCs w:val="32"/>
          <w:highlight w:val="none"/>
          <w:lang w:eastAsia="zh-CN"/>
        </w:rPr>
        <w:t>以粮食主产区和</w:t>
      </w:r>
      <w:r>
        <w:rPr>
          <w:rFonts w:hint="eastAsia" w:ascii="Times New Roman" w:hAnsi="Times New Roman" w:eastAsia="仿宋_GB2312" w:cs="Times New Roman"/>
          <w:sz w:val="32"/>
          <w:szCs w:val="32"/>
          <w:highlight w:val="none"/>
          <w:lang w:eastAsia="zh-CN"/>
        </w:rPr>
        <w:t>病虫害源头区、</w:t>
      </w:r>
      <w:r>
        <w:rPr>
          <w:rFonts w:hint="default" w:ascii="Times New Roman" w:hAnsi="Times New Roman" w:eastAsia="仿宋_GB2312" w:cs="Times New Roman"/>
          <w:sz w:val="32"/>
          <w:szCs w:val="32"/>
          <w:highlight w:val="none"/>
          <w:lang w:eastAsia="zh-CN"/>
        </w:rPr>
        <w:t>迁飞流行过渡区、主要发生危害区为重</w:t>
      </w:r>
      <w:r>
        <w:rPr>
          <w:rFonts w:hint="default" w:ascii="Times New Roman" w:hAnsi="Times New Roman" w:eastAsia="仿宋_GB2312" w:cs="Times New Roman"/>
          <w:sz w:val="32"/>
          <w:szCs w:val="32"/>
          <w:lang w:eastAsia="zh-CN"/>
        </w:rPr>
        <w:t>点，加密监测预警，坚持分类指导、分区施策、联防联控，大力推进绿色防控与统防统治融合，扎实推进农药减量增效，强化科学安全用药指导，适时开展应急防治，严防重大病虫害大面积暴发成灾，最大限度降低危害损失，全力实现</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虫口夺粮</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保丰收。</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highlight w:val="none"/>
          <w:lang w:eastAsia="zh-CN"/>
        </w:rPr>
      </w:pPr>
      <w:r>
        <w:rPr>
          <w:rFonts w:hint="eastAsia" w:ascii="楷体_GB2312" w:hAnsi="楷体_GB2312" w:eastAsia="楷体_GB2312" w:cs="楷体_GB2312"/>
          <w:sz w:val="32"/>
          <w:szCs w:val="32"/>
          <w:lang w:eastAsia="zh-CN"/>
        </w:rPr>
        <w:t>（二）主要目标。</w:t>
      </w:r>
      <w:r>
        <w:rPr>
          <w:rFonts w:hint="default" w:ascii="仿宋_GB2312" w:hAnsi="微软雅黑" w:eastAsia="仿宋_GB2312" w:cs="宋体"/>
          <w:color w:val="auto"/>
          <w:kern w:val="0"/>
          <w:sz w:val="32"/>
          <w:szCs w:val="32"/>
          <w:highlight w:val="none"/>
          <w:lang w:val="en-US" w:eastAsia="zh-CN" w:bidi="ar-SA"/>
        </w:rPr>
        <w:t>通过实施</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虫口夺粮</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保丰收行动，将生物防治、理化诱控、高效低风险农药等绿色防控措施纳入统防统治服务内容，全</w:t>
      </w:r>
      <w:r>
        <w:rPr>
          <w:rFonts w:hint="eastAsia" w:ascii="仿宋_GB2312" w:hAnsi="微软雅黑" w:eastAsia="仿宋_GB2312" w:cs="宋体"/>
          <w:color w:val="auto"/>
          <w:kern w:val="0"/>
          <w:sz w:val="32"/>
          <w:szCs w:val="32"/>
          <w:highlight w:val="none"/>
          <w:lang w:val="en-US" w:eastAsia="zh-CN" w:bidi="ar-SA"/>
        </w:rPr>
        <w:t>市</w:t>
      </w:r>
      <w:r>
        <w:rPr>
          <w:rFonts w:hint="default" w:ascii="仿宋_GB2312" w:hAnsi="微软雅黑" w:eastAsia="仿宋_GB2312" w:cs="宋体"/>
          <w:color w:val="auto"/>
          <w:kern w:val="0"/>
          <w:sz w:val="32"/>
          <w:szCs w:val="32"/>
          <w:highlight w:val="none"/>
          <w:lang w:val="en-US" w:eastAsia="zh-CN" w:bidi="ar-SA"/>
        </w:rPr>
        <w:t>组织实施绿色防控和统防统治面积</w:t>
      </w:r>
      <w:r>
        <w:rPr>
          <w:rFonts w:hint="eastAsia" w:ascii="仿宋_GB2312" w:hAnsi="微软雅黑" w:eastAsia="仿宋_GB2312" w:cs="宋体"/>
          <w:color w:val="auto"/>
          <w:kern w:val="0"/>
          <w:sz w:val="32"/>
          <w:szCs w:val="32"/>
          <w:highlight w:val="none"/>
          <w:lang w:val="en-US" w:eastAsia="zh-CN" w:bidi="ar-SA"/>
        </w:rPr>
        <w:t>分别达到1250</w:t>
      </w:r>
      <w:r>
        <w:rPr>
          <w:rFonts w:hint="default" w:ascii="仿宋_GB2312" w:hAnsi="微软雅黑" w:eastAsia="仿宋_GB2312" w:cs="宋体"/>
          <w:color w:val="auto"/>
          <w:kern w:val="0"/>
          <w:sz w:val="32"/>
          <w:szCs w:val="32"/>
          <w:highlight w:val="none"/>
          <w:lang w:val="en-US" w:eastAsia="zh-CN" w:bidi="ar-SA"/>
        </w:rPr>
        <w:t>万亩</w:t>
      </w:r>
      <w:r>
        <w:rPr>
          <w:rFonts w:hint="eastAsia" w:ascii="仿宋_GB2312" w:hAnsi="微软雅黑" w:eastAsia="仿宋_GB2312" w:cs="宋体"/>
          <w:color w:val="auto"/>
          <w:kern w:val="0"/>
          <w:sz w:val="32"/>
          <w:szCs w:val="32"/>
          <w:highlight w:val="none"/>
          <w:lang w:val="en-US" w:eastAsia="zh-CN" w:bidi="ar-SA"/>
        </w:rPr>
        <w:t>和1195</w:t>
      </w:r>
      <w:r>
        <w:rPr>
          <w:rFonts w:hint="default" w:ascii="仿宋_GB2312" w:hAnsi="微软雅黑" w:eastAsia="仿宋_GB2312" w:cs="宋体"/>
          <w:color w:val="auto"/>
          <w:kern w:val="0"/>
          <w:sz w:val="32"/>
          <w:szCs w:val="32"/>
          <w:highlight w:val="none"/>
          <w:lang w:val="en-US" w:eastAsia="zh-CN" w:bidi="ar-SA"/>
        </w:rPr>
        <w:t>万亩，确保将病虫害危害损失率控制在5%以内。</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三、技术路线</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立足抓早治小、关口前移，突出主要作物、重大病虫、重点区域，推行</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一虫一策、一病一方</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，分类指导、联防联控、协同治理。同时，结合落实小麦</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一喷三防</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highlight w:val="none"/>
          <w:lang w:eastAsia="zh-CN"/>
        </w:rPr>
        <w:t>、秋粮作物</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eastAsia="zh-CN"/>
        </w:rPr>
        <w:t>一喷多促</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lang w:eastAsia="zh-CN"/>
        </w:rPr>
        <w:t>等措施，实现防病治虫与单产提升有机统一。</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b/>
          <w:sz w:val="32"/>
          <w:szCs w:val="32"/>
          <w:lang w:eastAsia="zh-CN"/>
        </w:rPr>
      </w:pPr>
      <w:r>
        <w:rPr>
          <w:rFonts w:hint="eastAsia" w:ascii="楷体_GB2312" w:hAnsi="楷体_GB2312" w:eastAsia="楷体_GB2312" w:cs="楷体_GB2312"/>
          <w:sz w:val="32"/>
          <w:szCs w:val="32"/>
          <w:lang w:eastAsia="zh-CN"/>
        </w:rPr>
        <w:t>（一）大豆主要病虫害防控。</w:t>
      </w:r>
      <w:r>
        <w:rPr>
          <w:rFonts w:hint="default" w:ascii="Times New Roman" w:hAnsi="Times New Roman" w:eastAsia="仿宋_GB2312" w:cs="Times New Roman"/>
          <w:sz w:val="32"/>
          <w:szCs w:val="32"/>
          <w:lang w:eastAsia="zh-CN"/>
        </w:rPr>
        <w:t>选用抗病虫品种，选择含有精甲·咯菌腈、苯醚甲环唑、嘧菌酯等成分</w:t>
      </w:r>
      <w:r>
        <w:rPr>
          <w:rFonts w:hint="eastAsia" w:ascii="Times New Roman" w:hAnsi="Times New Roman" w:eastAsia="仿宋_GB2312" w:cs="Times New Roman"/>
          <w:sz w:val="32"/>
          <w:szCs w:val="32"/>
          <w:lang w:eastAsia="zh-CN"/>
        </w:rPr>
        <w:t>的</w:t>
      </w:r>
      <w:r>
        <w:rPr>
          <w:rFonts w:hint="default" w:ascii="Times New Roman" w:hAnsi="Times New Roman" w:eastAsia="仿宋_GB2312" w:cs="Times New Roman"/>
          <w:sz w:val="32"/>
          <w:szCs w:val="32"/>
          <w:lang w:eastAsia="zh-CN"/>
        </w:rPr>
        <w:t>种子处理</w:t>
      </w:r>
      <w:r>
        <w:rPr>
          <w:rFonts w:hint="eastAsia" w:ascii="Times New Roman" w:hAnsi="Times New Roman" w:eastAsia="仿宋_GB2312" w:cs="Times New Roman"/>
          <w:sz w:val="32"/>
          <w:szCs w:val="32"/>
          <w:lang w:eastAsia="zh-CN"/>
        </w:rPr>
        <w:t>剂</w:t>
      </w:r>
      <w:r>
        <w:rPr>
          <w:rFonts w:hint="default" w:ascii="Times New Roman" w:hAnsi="Times New Roman" w:eastAsia="仿宋_GB2312" w:cs="Times New Roman"/>
          <w:sz w:val="32"/>
          <w:szCs w:val="32"/>
          <w:lang w:eastAsia="zh-CN"/>
        </w:rPr>
        <w:t>预防大豆根部病害；选用含有噻虫嗪、吡虫啉、氯虫苯甲酰胺等成分</w:t>
      </w:r>
      <w:r>
        <w:rPr>
          <w:rFonts w:hint="eastAsia" w:ascii="Times New Roman" w:hAnsi="Times New Roman" w:eastAsia="仿宋_GB2312" w:cs="Times New Roman"/>
          <w:sz w:val="32"/>
          <w:szCs w:val="32"/>
          <w:lang w:eastAsia="zh-CN"/>
        </w:rPr>
        <w:t>的种子处理剂预防</w:t>
      </w:r>
      <w:r>
        <w:rPr>
          <w:rFonts w:hint="default" w:ascii="Times New Roman" w:hAnsi="Times New Roman" w:eastAsia="仿宋_GB2312" w:cs="Times New Roman"/>
          <w:sz w:val="32"/>
          <w:szCs w:val="32"/>
          <w:lang w:eastAsia="zh-CN"/>
        </w:rPr>
        <w:t>地下害虫、大豆蚜等苗期害虫。苗期和分枝期防治食叶类害虫选用氯虫苯甲酰胺、甲氨基阿维菌素苯甲酸盐等喷雾；大豆蚜选用吡虫啉、氰戊菊酯等药剂喷雾；大豆食心虫、金龟子、苜蓿夜蛾等害虫采用灯诱和性诱集中诱杀成虫。</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80" w:lineRule="exact"/>
        <w:ind w:firstLine="640" w:firstLineChars="200"/>
        <w:jc w:val="both"/>
        <w:textAlignment w:val="baseline"/>
        <w:rPr>
          <w:rFonts w:hint="default"/>
          <w:lang w:eastAsia="zh-CN"/>
        </w:rPr>
      </w:pPr>
      <w:r>
        <w:rPr>
          <w:rFonts w:hint="eastAsia" w:ascii="楷体_GB2312" w:hAnsi="楷体_GB2312" w:eastAsia="楷体_GB2312" w:cs="楷体_GB2312"/>
          <w:sz w:val="32"/>
          <w:szCs w:val="32"/>
          <w:lang w:eastAsia="zh-CN"/>
        </w:rPr>
        <w:t>（二）玉米重大病虫害防控。</w:t>
      </w:r>
      <w:r>
        <w:rPr>
          <w:rFonts w:hint="default" w:ascii="Times New Roman" w:hAnsi="Times New Roman" w:eastAsia="仿宋_GB2312" w:cs="Times New Roman"/>
          <w:sz w:val="32"/>
          <w:szCs w:val="32"/>
          <w:lang w:eastAsia="zh-CN"/>
        </w:rPr>
        <w:t>玉米螟</w:t>
      </w:r>
      <w:r>
        <w:rPr>
          <w:rFonts w:hint="eastAsia" w:ascii="Times New Roman" w:hAnsi="Times New Roman" w:eastAsia="仿宋_GB2312" w:cs="Times New Roman"/>
          <w:sz w:val="32"/>
          <w:szCs w:val="32"/>
          <w:lang w:eastAsia="zh-CN"/>
        </w:rPr>
        <w:t>、粘虫</w:t>
      </w:r>
      <w:r>
        <w:rPr>
          <w:rFonts w:hint="default" w:ascii="Times New Roman" w:hAnsi="Times New Roman" w:eastAsia="仿宋_GB2312" w:cs="Times New Roman"/>
          <w:sz w:val="32"/>
          <w:szCs w:val="32"/>
          <w:lang w:eastAsia="zh-CN"/>
        </w:rPr>
        <w:t>等害虫采取秸秆粉碎还田，减少虫源基数</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成虫发生期使用杀虫灯结合性诱剂诱杀</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成虫产卵初期释放赤眼蜂灭卵</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心叶期幼虫低龄阶段优先选用</w:t>
      </w:r>
      <w:bookmarkStart w:id="1" w:name="_Hlk161128108"/>
      <w:r>
        <w:rPr>
          <w:rFonts w:hint="default" w:ascii="Times New Roman" w:hAnsi="Times New Roman" w:eastAsia="仿宋_GB2312" w:cs="Times New Roman"/>
          <w:sz w:val="32"/>
          <w:szCs w:val="32"/>
          <w:lang w:eastAsia="zh-CN"/>
        </w:rPr>
        <w:t>球孢白僵菌</w:t>
      </w:r>
      <w:bookmarkEnd w:id="1"/>
      <w:r>
        <w:rPr>
          <w:rFonts w:hint="default" w:ascii="Times New Roman" w:hAnsi="Times New Roman" w:eastAsia="仿宋_GB2312" w:cs="Times New Roman"/>
          <w:sz w:val="32"/>
          <w:szCs w:val="32"/>
          <w:lang w:eastAsia="zh-CN"/>
        </w:rPr>
        <w:t>等生物农药，或选用氯虫苯甲酰胺等酰胺类、甲氨基阿维菌素苯甲酸盐、茚虫威等杀虫剂喷雾防治</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抓住低龄幼虫防控最佳时期实施统防统治和联防联控</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地下害虫、蚜虫等苗期害虫采取播前灭茬或清茬，清除玉米播种沟上的覆盖物</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可用含有噻虫嗪等新烟碱类杀虫剂与氯虫苯甲酰胺、溴氰虫酰胺复配的种子处理剂拌种或包衣</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玉米大小斑病采取抗（耐）病品种，心叶末期选用枯草芽孢杆菌、球孢白僵菌生物制剂或苯醚甲环唑、丁香菌酯、吡唑醚菌酯、丙环·嘧菌酯等杀菌剂喷施</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叶螨点片发生时，选用唑螨酯、哒螨灵、噻螨酮等喷雾，重点喷洒田块周边玉</w:t>
      </w:r>
      <w:bookmarkStart w:id="2" w:name="_Hlk1403196"/>
      <w:r>
        <w:rPr>
          <w:rFonts w:hint="default" w:ascii="Times New Roman" w:hAnsi="Times New Roman" w:eastAsia="仿宋_GB2312" w:cs="Times New Roman"/>
          <w:sz w:val="32"/>
          <w:szCs w:val="32"/>
          <w:lang w:eastAsia="zh-CN"/>
        </w:rPr>
        <w:t>米中下部叶</w:t>
      </w:r>
      <w:bookmarkEnd w:id="2"/>
      <w:r>
        <w:rPr>
          <w:rFonts w:hint="default" w:ascii="Times New Roman" w:hAnsi="Times New Roman" w:eastAsia="仿宋_GB2312" w:cs="Times New Roman"/>
          <w:sz w:val="32"/>
          <w:szCs w:val="32"/>
          <w:lang w:eastAsia="zh-CN"/>
        </w:rPr>
        <w:t>背及地头杂草。</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80" w:lineRule="exact"/>
        <w:ind w:firstLine="640" w:firstLineChars="200"/>
        <w:jc w:val="both"/>
        <w:rPr>
          <w:rFonts w:hint="eastAsia"/>
          <w:b w:val="0"/>
          <w:bCs w:val="0"/>
          <w:color w:val="auto"/>
          <w:highlight w:val="none"/>
        </w:rPr>
      </w:pPr>
      <w:r>
        <w:rPr>
          <w:rStyle w:val="8"/>
          <w:rFonts w:hint="eastAsia" w:ascii="楷体_GB2312" w:hAnsi="楷体_GB2312" w:eastAsia="楷体_GB2312" w:cs="楷体_GB2312"/>
          <w:b w:val="0"/>
          <w:bCs w:val="0"/>
          <w:kern w:val="0"/>
          <w:sz w:val="32"/>
          <w:szCs w:val="32"/>
          <w:lang w:val="en-US" w:eastAsia="zh-CN" w:bidi="ar-SA"/>
        </w:rPr>
        <w:t>（三）小麦主要病虫害防控。</w:t>
      </w:r>
      <w:r>
        <w:rPr>
          <w:rFonts w:hint="eastAsia" w:eastAsia="仿宋_GB2312"/>
          <w:b w:val="0"/>
          <w:bCs w:val="0"/>
          <w:color w:val="auto"/>
          <w:kern w:val="0"/>
          <w:sz w:val="32"/>
          <w:szCs w:val="32"/>
          <w:highlight w:val="none"/>
          <w:lang w:val="en-US" w:eastAsia="zh-CN"/>
        </w:rPr>
        <w:t>因地制宜选种优质抗病高产品种；通过药剂拌种或种子包衣，有效控制苗期小麦根腐病、黑穗病、地下害虫等，可选用的杀菌剂有苯醚甲环唑、咯菌腈、戊唑醇等，可选用的杀虫剂有噻虫嗪、吡虫啉、辛硫磷等；</w:t>
      </w:r>
      <w:r>
        <w:rPr>
          <w:rFonts w:hint="default" w:eastAsia="仿宋_GB2312"/>
          <w:b w:val="0"/>
          <w:bCs/>
          <w:color w:val="auto"/>
          <w:kern w:val="0"/>
          <w:sz w:val="32"/>
          <w:szCs w:val="32"/>
          <w:highlight w:val="none"/>
          <w:lang w:val="en-US" w:eastAsia="zh-CN"/>
        </w:rPr>
        <w:t>小麦抽穗至灌浆期是赤霉病、锈病、麦蚜等多种病虫同时发生危害的关键期，可</w:t>
      </w:r>
      <w:r>
        <w:rPr>
          <w:rFonts w:hint="eastAsia" w:eastAsia="仿宋_GB2312"/>
          <w:b w:val="0"/>
          <w:bCs/>
          <w:color w:val="auto"/>
          <w:kern w:val="0"/>
          <w:sz w:val="32"/>
          <w:szCs w:val="32"/>
          <w:highlight w:val="none"/>
          <w:lang w:val="en-US" w:eastAsia="zh-CN"/>
        </w:rPr>
        <w:t>使用“一喷三防”技术，</w:t>
      </w:r>
      <w:r>
        <w:rPr>
          <w:rFonts w:hint="default" w:eastAsia="仿宋_GB2312"/>
          <w:b w:val="0"/>
          <w:bCs/>
          <w:color w:val="auto"/>
          <w:kern w:val="0"/>
          <w:sz w:val="32"/>
          <w:szCs w:val="32"/>
          <w:highlight w:val="none"/>
          <w:lang w:val="en-US" w:eastAsia="zh-CN"/>
        </w:rPr>
        <w:t>选用高效对路的杀菌剂、杀虫剂、叶面肥和调节剂等科学混用，综合施药，</w:t>
      </w:r>
      <w:r>
        <w:rPr>
          <w:rFonts w:hint="eastAsia" w:eastAsia="仿宋_GB2312"/>
          <w:b w:val="0"/>
          <w:bCs/>
          <w:color w:val="auto"/>
          <w:kern w:val="0"/>
          <w:sz w:val="32"/>
          <w:szCs w:val="32"/>
          <w:highlight w:val="none"/>
          <w:lang w:val="en-US" w:eastAsia="zh-CN"/>
        </w:rPr>
        <w:t>达到</w:t>
      </w:r>
      <w:r>
        <w:rPr>
          <w:rFonts w:hint="default" w:eastAsia="仿宋_GB2312"/>
          <w:b w:val="0"/>
          <w:bCs/>
          <w:color w:val="auto"/>
          <w:kern w:val="0"/>
          <w:sz w:val="32"/>
          <w:szCs w:val="32"/>
          <w:highlight w:val="none"/>
          <w:lang w:val="en-US" w:eastAsia="zh-CN"/>
        </w:rPr>
        <w:t>防病</w:t>
      </w:r>
      <w:r>
        <w:rPr>
          <w:rFonts w:hint="eastAsia" w:eastAsia="仿宋_GB2312"/>
          <w:b w:val="0"/>
          <w:bCs/>
          <w:color w:val="auto"/>
          <w:kern w:val="0"/>
          <w:sz w:val="32"/>
          <w:szCs w:val="32"/>
          <w:highlight w:val="none"/>
          <w:lang w:val="en-US" w:eastAsia="zh-CN"/>
        </w:rPr>
        <w:t>、防</w:t>
      </w:r>
      <w:r>
        <w:rPr>
          <w:rFonts w:hint="default" w:eastAsia="仿宋_GB2312"/>
          <w:b w:val="0"/>
          <w:bCs/>
          <w:color w:val="auto"/>
          <w:kern w:val="0"/>
          <w:sz w:val="32"/>
          <w:szCs w:val="32"/>
          <w:highlight w:val="none"/>
          <w:lang w:val="en-US" w:eastAsia="zh-CN"/>
        </w:rPr>
        <w:t>虫</w:t>
      </w:r>
      <w:r>
        <w:rPr>
          <w:rFonts w:hint="eastAsia" w:eastAsia="仿宋_GB2312"/>
          <w:b w:val="0"/>
          <w:bCs/>
          <w:color w:val="auto"/>
          <w:kern w:val="0"/>
          <w:sz w:val="32"/>
          <w:szCs w:val="32"/>
          <w:highlight w:val="none"/>
          <w:lang w:val="en-US" w:eastAsia="zh-CN"/>
        </w:rPr>
        <w:t>、防倒伏（</w:t>
      </w:r>
      <w:r>
        <w:rPr>
          <w:rFonts w:hint="default" w:eastAsia="仿宋_GB2312"/>
          <w:b w:val="0"/>
          <w:bCs/>
          <w:color w:val="auto"/>
          <w:kern w:val="0"/>
          <w:sz w:val="32"/>
          <w:szCs w:val="32"/>
          <w:highlight w:val="none"/>
          <w:lang w:val="en-US" w:eastAsia="zh-CN"/>
        </w:rPr>
        <w:t>防早衰</w:t>
      </w:r>
      <w:r>
        <w:rPr>
          <w:rFonts w:hint="eastAsia" w:eastAsia="仿宋_GB2312"/>
          <w:b w:val="0"/>
          <w:bCs/>
          <w:color w:val="auto"/>
          <w:kern w:val="0"/>
          <w:sz w:val="32"/>
          <w:szCs w:val="32"/>
          <w:highlight w:val="none"/>
          <w:lang w:val="en-US" w:eastAsia="zh-CN"/>
        </w:rPr>
        <w:t>）的目的。</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Style w:val="9"/>
          <w:rFonts w:hint="eastAsia" w:hAnsi="Times New Roman" w:cs="Times New Roman"/>
          <w:b w:val="0"/>
          <w:bCs w:val="0"/>
          <w:color w:val="auto"/>
          <w:kern w:val="2"/>
          <w:lang w:val="en-US" w:eastAsia="zh-CN" w:bidi="ar-SA"/>
        </w:rPr>
      </w:pPr>
      <w:r>
        <w:rPr>
          <w:rFonts w:hint="eastAsia" w:ascii="楷体_GB2312" w:hAnsi="楷体_GB2312" w:eastAsia="楷体_GB2312" w:cs="楷体_GB2312"/>
          <w:sz w:val="32"/>
          <w:szCs w:val="32"/>
          <w:lang w:eastAsia="zh-CN"/>
        </w:rPr>
        <w:t>（四）油菜重大病虫害防控。</w:t>
      </w:r>
      <w:r>
        <w:rPr>
          <w:rFonts w:hint="default" w:ascii="Times New Roman" w:hAnsi="Times New Roman" w:eastAsia="仿宋_GB2312" w:cs="Times New Roman"/>
          <w:sz w:val="32"/>
          <w:szCs w:val="32"/>
          <w:lang w:eastAsia="zh-CN"/>
        </w:rPr>
        <w:t>选种双低、高产、抗（耐）病品种，与禾本科作物轮作，减少田间菌核数量以及鳞翅目害虫、</w:t>
      </w:r>
      <w:r>
        <w:rPr>
          <w:rFonts w:hint="eastAsia" w:ascii="Times New Roman" w:hAnsi="Times New Roman" w:eastAsia="仿宋_GB2312" w:cs="Times New Roman"/>
          <w:sz w:val="32"/>
          <w:szCs w:val="32"/>
          <w:lang w:eastAsia="zh-CN"/>
        </w:rPr>
        <w:t>跳甲</w:t>
      </w:r>
      <w:r>
        <w:rPr>
          <w:rFonts w:hint="default" w:ascii="Times New Roman" w:hAnsi="Times New Roman" w:eastAsia="仿宋_GB2312" w:cs="Times New Roman"/>
          <w:sz w:val="32"/>
          <w:szCs w:val="32"/>
          <w:lang w:eastAsia="zh-CN"/>
        </w:rPr>
        <w:t>的虫源基数</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选用咯菌腈、噻虫嗪等进行包衣或拌种防治苗期根腐病和地下害虫</w:t>
      </w:r>
      <w:r>
        <w:rPr>
          <w:rFonts w:hint="eastAsia" w:ascii="Times New Roman" w:hAnsi="Times New Roman" w:eastAsia="仿宋_GB2312" w:cs="Times New Roman"/>
          <w:sz w:val="32"/>
          <w:szCs w:val="32"/>
          <w:lang w:eastAsia="zh-CN"/>
        </w:rPr>
        <w:t>；</w:t>
      </w:r>
      <w:r>
        <w:rPr>
          <w:rStyle w:val="9"/>
          <w:rFonts w:hint="eastAsia" w:hAnsi="Times New Roman" w:cs="Times New Roman"/>
          <w:b w:val="0"/>
          <w:bCs w:val="0"/>
          <w:color w:val="auto"/>
          <w:kern w:val="2"/>
          <w:lang w:val="en-US" w:eastAsia="zh-CN" w:bidi="ar-SA"/>
        </w:rPr>
        <w:t>油菜菌核病防控应采取“</w:t>
      </w:r>
      <w:r>
        <w:rPr>
          <w:rFonts w:hint="default" w:ascii="仿宋_GB2312" w:hAnsi="仿宋_GB2312" w:eastAsia="仿宋_GB2312" w:cs="仿宋_GB2312"/>
          <w:b w:val="0"/>
          <w:bCs w:val="0"/>
          <w:color w:val="auto"/>
          <w:kern w:val="0"/>
          <w:sz w:val="32"/>
          <w:szCs w:val="32"/>
          <w:highlight w:val="none"/>
          <w:lang w:val="en-US" w:eastAsia="zh-CN" w:bidi="ar"/>
        </w:rPr>
        <w:t>因</w:t>
      </w:r>
      <w:r>
        <w:rPr>
          <w:rFonts w:hint="default" w:ascii="Times New Roman" w:hAnsi="Times New Roman" w:eastAsia="仿宋_GB2312" w:cs="Times New Roman"/>
          <w:b w:val="0"/>
          <w:bCs w:val="0"/>
          <w:color w:val="auto"/>
          <w:sz w:val="32"/>
          <w:szCs w:val="32"/>
          <w:highlight w:val="none"/>
        </w:rPr>
        <w:t>地制宜、预防为主、综合防治</w:t>
      </w:r>
      <w:r>
        <w:rPr>
          <w:rStyle w:val="9"/>
          <w:rFonts w:hint="eastAsia" w:hAnsi="Times New Roman" w:cs="Times New Roman"/>
          <w:b w:val="0"/>
          <w:bCs w:val="0"/>
          <w:color w:val="auto"/>
          <w:kern w:val="2"/>
          <w:lang w:val="en-US" w:eastAsia="zh-CN" w:bidi="ar-SA"/>
        </w:rPr>
        <w:t>”的防控策略，地势低洼或排水不良的油菜地，开花前清沟排水，防治关键时期为始花期和盛花期，防治</w:t>
      </w:r>
      <w:r>
        <w:rPr>
          <w:rFonts w:hint="default" w:ascii="Times New Roman" w:hAnsi="Times New Roman" w:eastAsia="仿宋_GB2312" w:cs="Times New Roman"/>
          <w:b w:val="0"/>
          <w:bCs w:val="0"/>
          <w:color w:val="auto"/>
          <w:sz w:val="32"/>
          <w:szCs w:val="32"/>
          <w:highlight w:val="none"/>
        </w:rPr>
        <w:t>药剂可选用腐霉利、咪鲜胺、菌核净等</w:t>
      </w:r>
      <w:r>
        <w:rPr>
          <w:rStyle w:val="9"/>
          <w:rFonts w:hint="eastAsia" w:cs="Times New Roman"/>
          <w:b w:val="0"/>
          <w:bCs w:val="0"/>
          <w:color w:val="auto"/>
          <w:kern w:val="2"/>
          <w:lang w:val="en-US" w:eastAsia="zh-CN" w:bidi="ar-SA"/>
        </w:rPr>
        <w:t>；</w:t>
      </w:r>
      <w:r>
        <w:rPr>
          <w:rStyle w:val="9"/>
          <w:rFonts w:hint="eastAsia" w:hAnsi="Times New Roman" w:cs="Times New Roman"/>
          <w:b w:val="0"/>
          <w:bCs w:val="0"/>
          <w:color w:val="auto"/>
          <w:kern w:val="2"/>
          <w:highlight w:val="none"/>
          <w:lang w:val="en-US" w:eastAsia="zh-CN" w:bidi="ar-SA"/>
        </w:rPr>
        <w:t>黄曲条跳甲</w:t>
      </w:r>
      <w:r>
        <w:rPr>
          <w:rFonts w:hint="default" w:ascii="Times New Roman" w:hAnsi="Times New Roman" w:eastAsia="仿宋_GB2312" w:cs="Times New Roman"/>
          <w:b w:val="0"/>
          <w:bCs w:val="0"/>
          <w:sz w:val="32"/>
          <w:szCs w:val="32"/>
          <w:highlight w:val="none"/>
          <w:lang w:eastAsia="zh-CN"/>
        </w:rPr>
        <w:t>发生时</w:t>
      </w:r>
      <w:r>
        <w:rPr>
          <w:rFonts w:hint="eastAsia" w:ascii="Times New Roman" w:hAnsi="Times New Roman" w:eastAsia="仿宋_GB2312" w:cs="Times New Roman"/>
          <w:b w:val="0"/>
          <w:bCs w:val="0"/>
          <w:sz w:val="32"/>
          <w:szCs w:val="32"/>
          <w:highlight w:val="none"/>
          <w:lang w:eastAsia="zh-CN"/>
        </w:rPr>
        <w:t>可</w:t>
      </w:r>
      <w:r>
        <w:rPr>
          <w:rFonts w:hint="default" w:ascii="Times New Roman" w:hAnsi="Times New Roman" w:eastAsia="仿宋_GB2312" w:cs="Times New Roman"/>
          <w:b w:val="0"/>
          <w:bCs w:val="0"/>
          <w:sz w:val="32"/>
          <w:szCs w:val="32"/>
          <w:highlight w:val="none"/>
          <w:lang w:eastAsia="zh-CN"/>
        </w:rPr>
        <w:t>喷施高效氯氰菊酯等药剂进行防治</w:t>
      </w:r>
      <w:r>
        <w:rPr>
          <w:rFonts w:hint="eastAsia" w:ascii="Times New Roman" w:hAnsi="Times New Roman" w:eastAsia="仿宋_GB2312" w:cs="Times New Roman"/>
          <w:b w:val="0"/>
          <w:bCs w:val="0"/>
          <w:sz w:val="32"/>
          <w:szCs w:val="32"/>
          <w:highlight w:val="none"/>
          <w:lang w:eastAsia="zh-CN"/>
        </w:rPr>
        <w:t>；</w:t>
      </w:r>
      <w:r>
        <w:rPr>
          <w:rFonts w:hint="default" w:ascii="Times New Roman" w:hAnsi="Times New Roman" w:eastAsia="仿宋_GB2312" w:cs="Times New Roman"/>
          <w:b w:val="0"/>
          <w:bCs w:val="0"/>
          <w:sz w:val="32"/>
          <w:szCs w:val="32"/>
          <w:highlight w:val="none"/>
          <w:lang w:eastAsia="zh-CN"/>
        </w:rPr>
        <w:t>小</w:t>
      </w:r>
      <w:r>
        <w:rPr>
          <w:rFonts w:hint="default" w:ascii="Times New Roman" w:hAnsi="Times New Roman" w:eastAsia="仿宋_GB2312" w:cs="Times New Roman"/>
          <w:b w:val="0"/>
          <w:bCs w:val="0"/>
          <w:sz w:val="32"/>
          <w:szCs w:val="32"/>
          <w:lang w:eastAsia="zh-CN"/>
        </w:rPr>
        <w:t>菜蛾发生时利用性诱诱杀或喷施苦参碱、阿维菌素等药剂进行防治</w:t>
      </w:r>
      <w:r>
        <w:rPr>
          <w:rFonts w:hint="eastAsia" w:ascii="Times New Roman" w:hAnsi="Times New Roman" w:eastAsia="仿宋_GB2312" w:cs="Times New Roman"/>
          <w:b w:val="0"/>
          <w:bCs w:val="0"/>
          <w:color w:val="auto"/>
          <w:sz w:val="32"/>
          <w:szCs w:val="32"/>
          <w:highlight w:val="none"/>
          <w:lang w:eastAsia="zh-CN"/>
        </w:rPr>
        <w:t>，</w:t>
      </w:r>
      <w:r>
        <w:rPr>
          <w:rStyle w:val="9"/>
          <w:rFonts w:hint="eastAsia" w:hAnsi="Times New Roman" w:cs="Times New Roman"/>
          <w:b w:val="0"/>
          <w:bCs w:val="0"/>
          <w:color w:val="auto"/>
          <w:kern w:val="2"/>
          <w:lang w:val="en-US" w:eastAsia="zh-CN" w:bidi="ar-SA"/>
        </w:rPr>
        <w:t>注意轮换交替用药；采用灯光诱杀油菜角野螟等。</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（五）马铃薯重大病虫害防控。</w:t>
      </w:r>
      <w:r>
        <w:rPr>
          <w:rFonts w:hint="default" w:ascii="Times New Roman" w:hAnsi="Times New Roman" w:eastAsia="仿宋_GB2312" w:cs="Times New Roman"/>
          <w:sz w:val="32"/>
          <w:szCs w:val="32"/>
          <w:lang w:eastAsia="zh-CN"/>
        </w:rPr>
        <w:t>播种期选用咯菌腈·氟唑环菌胺、咯菌腈或精甲霜灵·咯菌腈种薯拌种，也可选用球</w:t>
      </w:r>
      <w:r>
        <w:rPr>
          <w:rFonts w:hint="eastAsia" w:ascii="Times New Roman" w:hAnsi="Times New Roman" w:eastAsia="仿宋_GB2312" w:cs="Times New Roman"/>
          <w:sz w:val="32"/>
          <w:szCs w:val="32"/>
          <w:lang w:eastAsia="zh-CN"/>
        </w:rPr>
        <w:t>孢</w:t>
      </w:r>
      <w:r>
        <w:rPr>
          <w:rFonts w:hint="default" w:ascii="Times New Roman" w:hAnsi="Times New Roman" w:eastAsia="仿宋_GB2312" w:cs="Times New Roman"/>
          <w:sz w:val="32"/>
          <w:szCs w:val="32"/>
          <w:lang w:eastAsia="zh-CN"/>
        </w:rPr>
        <w:t>白僵菌或苏云金杆菌与甲基硫菌灵、滑石粉混匀拌种预防土传、种传病害和地下害虫</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播种时沟施嘧菌酯或噻呋酰胺预防黑痣病</w:t>
      </w:r>
      <w:r>
        <w:rPr>
          <w:rFonts w:hint="eastAsia" w:ascii="Times New Roman" w:hAnsi="Times New Roman" w:eastAsia="仿宋_GB2312" w:cs="Times New Roman"/>
          <w:sz w:val="32"/>
          <w:szCs w:val="32"/>
          <w:lang w:eastAsia="zh-CN"/>
        </w:rPr>
        <w:t>等；</w:t>
      </w:r>
      <w:r>
        <w:rPr>
          <w:rFonts w:hint="default" w:ascii="Times New Roman" w:hAnsi="Times New Roman" w:eastAsia="仿宋_GB2312" w:cs="Times New Roman"/>
          <w:sz w:val="32"/>
          <w:szCs w:val="32"/>
          <w:lang w:eastAsia="zh-CN"/>
        </w:rPr>
        <w:t>苗期喷施代森锰锌、氟啶胺或氰霜唑等保护性药剂预防晚疫病、黑痣病、黑胫病</w:t>
      </w:r>
      <w:r>
        <w:rPr>
          <w:rFonts w:hint="eastAsia" w:ascii="Times New Roman" w:hAnsi="Times New Roman" w:eastAsia="仿宋_GB2312" w:cs="Times New Roman"/>
          <w:sz w:val="32"/>
          <w:szCs w:val="32"/>
          <w:lang w:eastAsia="zh-CN"/>
        </w:rPr>
        <w:t>等</w:t>
      </w:r>
      <w:r>
        <w:rPr>
          <w:rFonts w:hint="default" w:ascii="Times New Roman" w:hAnsi="Times New Roman" w:eastAsia="仿宋_GB2312" w:cs="Times New Roman"/>
          <w:sz w:val="32"/>
          <w:szCs w:val="32"/>
          <w:lang w:eastAsia="zh-CN"/>
        </w:rPr>
        <w:t>。出现晚疫病中心病株，喷施丁子香酚、烯酰吗啉等内吸性治疗剂</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块茎形成期选用代森锰锌、氟啶胺、氰霜唑、枯草芽孢杆菌等保护性杀菌剂防治早晚疫病、疮痂病、蚜虫等</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块茎膨大期重点防治晚疫病、早疫病等，选用烯酰吗啉、氟噻唑吡乙酮、丁子香酚、噁酮·霜脲氰、氟菌·霜霉威、霜脲·嘧菌酯、嘧菌酯等防治晚疫病，选用丙环唑、嘧菌酯、啶酰菌胺、烯酰·吡唑酯、苯甲·嘧菌酯等防治早疫病</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疮痂病严重的地块，滴灌芽孢杆菌等生物菌剂</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黑胫病严重的地块，选用噻唑锌或噻霉酮等药剂滴灌或喷淋。</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（六）水稻重大病虫害防控。</w:t>
      </w:r>
      <w:r>
        <w:rPr>
          <w:rFonts w:hint="default" w:ascii="Times New Roman" w:hAnsi="Times New Roman" w:eastAsia="仿宋_GB2312" w:cs="Times New Roman"/>
          <w:sz w:val="32"/>
          <w:szCs w:val="32"/>
          <w:lang w:eastAsia="zh-CN"/>
        </w:rPr>
        <w:t>播</w:t>
      </w:r>
      <w:r>
        <w:rPr>
          <w:rFonts w:hint="default" w:ascii="仿宋_GB2312" w:hAnsi="微软雅黑" w:eastAsia="仿宋_GB2312" w:cs="宋体"/>
          <w:color w:val="auto"/>
          <w:kern w:val="0"/>
          <w:sz w:val="32"/>
          <w:szCs w:val="32"/>
          <w:highlight w:val="none"/>
          <w:lang w:val="en-US" w:eastAsia="zh-CN" w:bidi="ar-SA"/>
        </w:rPr>
        <w:t>种期选用抗（耐）病虫品种、种子处理和带药移栽，预防潜叶蝇、稻瘟病等病虫害</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水稻移栽后7</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10天，禾苗开始返青分蘖时，将15</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20日龄雏鸭放入稻田饲养，每亩稻田放鸭10</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30只，水稻齐穗前收鸭。通过鸭子的取食和活动，减轻病虫草的发生为害</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苗期选用枯草芽孢杆菌、春雷霉素、多抗霉素、申嗪霉素等防治稻瘟病。叶（苗）瘟在田间初见病斑时施药，预防穗瘟在破口抽穗初期喷施三环唑、嘧菌酯等，气候适宜病害流行时，间隔7天第2次施药</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水稻负泥虫可用2米长木杆，一端拴上一米长的扫帚枝4根，用以扫落幼虫。连续进行3～4次，即可收到较好的防治效果。</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（七）其他病虫疫情防控。</w:t>
      </w:r>
      <w:r>
        <w:rPr>
          <w:rFonts w:hint="default" w:ascii="Times New Roman" w:hAnsi="Times New Roman" w:eastAsia="仿宋_GB2312" w:cs="Times New Roman"/>
          <w:sz w:val="32"/>
          <w:szCs w:val="32"/>
          <w:lang w:eastAsia="zh-CN"/>
        </w:rPr>
        <w:t>草地螟加强虫情监测，采取农业防治、生物防治、理化诱控、化学防治等综合措施，有效控制危害</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highlight w:val="none"/>
          <w:lang w:eastAsia="zh-CN"/>
        </w:rPr>
        <w:t>番茄潜叶蛾</w:t>
      </w:r>
      <w:r>
        <w:rPr>
          <w:rFonts w:hint="eastAsia" w:ascii="Times New Roman" w:hAnsi="Times New Roman" w:eastAsia="仿宋_GB2312" w:cs="Times New Roman"/>
          <w:sz w:val="32"/>
          <w:szCs w:val="32"/>
          <w:highlight w:val="none"/>
          <w:lang w:eastAsia="zh-CN"/>
        </w:rPr>
        <w:t>要加强监测力度，</w:t>
      </w:r>
      <w:r>
        <w:rPr>
          <w:rFonts w:hint="default" w:ascii="Times New Roman" w:hAnsi="Times New Roman" w:eastAsia="仿宋_GB2312" w:cs="Times New Roman"/>
          <w:kern w:val="0"/>
          <w:sz w:val="32"/>
          <w:szCs w:val="32"/>
          <w:highlight w:val="none"/>
          <w:lang w:val="en-US" w:eastAsia="zh-CN"/>
        </w:rPr>
        <w:t>以设施栽培番茄为重点，其次为露地番茄，兼顾马铃薯、茄子等茄科类作物，布设性诱捕设备开展监测，</w:t>
      </w:r>
      <w:r>
        <w:rPr>
          <w:rFonts w:hint="eastAsia" w:ascii="Times New Roman" w:hAnsi="Times New Roman" w:eastAsia="仿宋_GB2312" w:cs="Times New Roman"/>
          <w:kern w:val="0"/>
          <w:sz w:val="32"/>
          <w:szCs w:val="32"/>
          <w:highlight w:val="none"/>
          <w:lang w:val="en-US" w:eastAsia="zh-CN"/>
        </w:rPr>
        <w:t>如发现虫情执行当天即报制度；</w:t>
      </w:r>
      <w:r>
        <w:rPr>
          <w:rFonts w:hint="default" w:ascii="Times New Roman" w:hAnsi="Times New Roman" w:eastAsia="仿宋_GB2312" w:cs="Times New Roman"/>
          <w:sz w:val="32"/>
          <w:szCs w:val="32"/>
          <w:lang w:eastAsia="zh-CN"/>
        </w:rPr>
        <w:t>农牧交错区鼠害重点推广毒饵站、围栏</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陷阱捕鼠器等技术</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设施蔬菜重点因地制宜集成推广绿色防控、农药减量技术模式。</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四、重点任务</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（一）强化监测预报预警。</w:t>
      </w:r>
      <w:r>
        <w:rPr>
          <w:rFonts w:hint="default" w:ascii="Times New Roman" w:hAnsi="Times New Roman" w:eastAsia="仿宋_GB2312" w:cs="Times New Roman"/>
          <w:sz w:val="32"/>
          <w:szCs w:val="32"/>
          <w:lang w:eastAsia="zh-CN"/>
        </w:rPr>
        <w:t>进一步健全农作物病虫害监测预警网络，加密布设监测站点，推行</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一体化监测、一盘棋调度、一张图指挥</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提升实时监测和早期预警等末端发现能力。严格执行重大病虫周报、突发病虫日报制度，及时发布预报预警信息，科学决策、指导防控。加速检疫性病虫害快速检测技术推广应用，加强病虫害抗药性监测治理，推行对症选药、轮换用药、适期适量用药。</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（二）推进绿色防控与统防统治融合。</w:t>
      </w:r>
      <w:r>
        <w:rPr>
          <w:rFonts w:hint="default" w:ascii="Times New Roman" w:hAnsi="Times New Roman" w:eastAsia="仿宋_GB2312" w:cs="Times New Roman"/>
          <w:sz w:val="32"/>
          <w:szCs w:val="32"/>
          <w:lang w:eastAsia="zh-CN"/>
        </w:rPr>
        <w:t>以粮食作物主产区、经济作物优势区为重点，加速集成推广一批经济实用、简便有效、农民乐意接受的绿色防控、农药减量增效技术模式。加强专业化防治组织服务指导，继续以正式注册的专业化防治组织为重点，将生物防治、理化诱控、高效低风险农药等绿色防控措施纳入统防统治服务内容，促进绿色防控与统防统治融合发展，持续推进化学农药减量增效。</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（三）加强科学安全用药指导。</w:t>
      </w:r>
      <w:r>
        <w:rPr>
          <w:rFonts w:hint="default" w:ascii="Times New Roman" w:hAnsi="Times New Roman" w:eastAsia="仿宋_GB2312" w:cs="Times New Roman"/>
          <w:sz w:val="32"/>
          <w:szCs w:val="32"/>
          <w:lang w:eastAsia="zh-CN"/>
        </w:rPr>
        <w:t>加强科学安全用药知识技能培训和服务指导，组织开展农药使用风险隐患排查。加速生物防治替代化学防治、高效低风险农药替代老旧抗性农药</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双替代</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进程，降低农药残留污染风险。</w:t>
      </w:r>
    </w:p>
    <w:p>
      <w:pPr>
        <w:keepNext w:val="0"/>
        <w:keepLines w:val="0"/>
        <w:pageBreakBefore w:val="0"/>
        <w:widowControl w:val="0"/>
        <w:kinsoku w:val="0"/>
        <w:wordWrap/>
        <w:overflowPunct/>
        <w:topLinePunct w:val="0"/>
        <w:autoSpaceDE w:val="0"/>
        <w:autoSpaceDN w:val="0"/>
        <w:bidi w:val="0"/>
        <w:adjustRightInd w:val="0"/>
        <w:snapToGrid w:val="0"/>
        <w:spacing w:line="57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（四）严格植物检疫监管。</w:t>
      </w:r>
      <w:r>
        <w:rPr>
          <w:rFonts w:hint="default" w:ascii="Times New Roman" w:hAnsi="Times New Roman" w:eastAsia="仿宋_GB2312" w:cs="Times New Roman"/>
          <w:sz w:val="32"/>
          <w:szCs w:val="32"/>
          <w:lang w:eastAsia="zh-CN"/>
        </w:rPr>
        <w:t>以制种基地、种苗生产经营企业、主要种苗集散地为重点，着力加强农作物种苗生产、调运、销售等全链条检疫监管。扎实做好种子苗木产地检疫，加大调运检疫证书查验和抽样复检力度。发现染疫种苗，强化溯源追踪，依法科学处置。严厉打击无证调运、使用假证、货证不符等违法违规行为。加强国外首次引进和高风险种苗风险分析及隔离检疫。</w:t>
      </w:r>
    </w:p>
    <w:p>
      <w:pPr>
        <w:keepNext w:val="0"/>
        <w:keepLines w:val="0"/>
        <w:pageBreakBefore w:val="0"/>
        <w:widowControl w:val="0"/>
        <w:kinsoku w:val="0"/>
        <w:wordWrap/>
        <w:overflowPunct/>
        <w:topLinePunct w:val="0"/>
        <w:autoSpaceDE w:val="0"/>
        <w:autoSpaceDN w:val="0"/>
        <w:bidi w:val="0"/>
        <w:adjustRightInd w:val="0"/>
        <w:snapToGrid w:val="0"/>
        <w:spacing w:line="570" w:lineRule="exact"/>
        <w:ind w:left="0" w:leftChars="0" w:firstLine="640" w:firstLineChars="200"/>
        <w:jc w:val="both"/>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五、保障措施</w:t>
      </w:r>
    </w:p>
    <w:p>
      <w:pPr>
        <w:keepNext w:val="0"/>
        <w:keepLines w:val="0"/>
        <w:pageBreakBefore w:val="0"/>
        <w:widowControl w:val="0"/>
        <w:kinsoku w:val="0"/>
        <w:wordWrap/>
        <w:overflowPunct/>
        <w:topLinePunct w:val="0"/>
        <w:autoSpaceDE w:val="0"/>
        <w:autoSpaceDN w:val="0"/>
        <w:bidi w:val="0"/>
        <w:adjustRightInd w:val="0"/>
        <w:snapToGrid w:val="0"/>
        <w:spacing w:line="57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（一）强化责任落实。</w:t>
      </w:r>
      <w:r>
        <w:rPr>
          <w:rFonts w:hint="default" w:ascii="Times New Roman" w:hAnsi="Times New Roman" w:eastAsia="仿宋_GB2312" w:cs="Times New Roman"/>
          <w:sz w:val="32"/>
          <w:szCs w:val="32"/>
          <w:highlight w:val="none"/>
          <w:lang w:eastAsia="zh-CN"/>
        </w:rPr>
        <w:t>将重大病虫害防控纳入各级党委和政府落实耕地保护和粮食安全责任制考核，持续加强基层植保体系建设，落实《农作物病虫害防</w:t>
      </w:r>
      <w:r>
        <w:rPr>
          <w:rFonts w:hint="default" w:ascii="Times New Roman" w:hAnsi="Times New Roman" w:eastAsia="仿宋_GB2312" w:cs="Times New Roman"/>
          <w:sz w:val="32"/>
          <w:szCs w:val="32"/>
          <w:lang w:eastAsia="zh-CN"/>
        </w:rPr>
        <w:t>治条例》政府主导、属地负责等相关规定，层层压实责任，细化工作措施，优化防控方案，及早安排部署，强化督促指导，确保</w:t>
      </w:r>
      <w:r>
        <w:rPr>
          <w:rFonts w:hint="eastAsia" w:ascii="Times New Roman" w:hAnsi="Times New Roman" w:eastAsia="仿宋_GB2312" w:cs="Times New Roman"/>
          <w:sz w:val="32"/>
          <w:szCs w:val="32"/>
          <w:lang w:eastAsia="zh-CN"/>
        </w:rPr>
        <w:t>“虫口夺粮”</w:t>
      </w:r>
      <w:r>
        <w:rPr>
          <w:rFonts w:hint="default" w:ascii="Times New Roman" w:hAnsi="Times New Roman" w:eastAsia="仿宋_GB2312" w:cs="Times New Roman"/>
          <w:sz w:val="32"/>
          <w:szCs w:val="32"/>
          <w:lang w:eastAsia="zh-CN"/>
        </w:rPr>
        <w:t>保丰收行动顺利开展。</w:t>
      </w:r>
    </w:p>
    <w:p>
      <w:pPr>
        <w:keepNext w:val="0"/>
        <w:keepLines w:val="0"/>
        <w:pageBreakBefore w:val="0"/>
        <w:widowControl w:val="0"/>
        <w:kinsoku w:val="0"/>
        <w:wordWrap/>
        <w:overflowPunct/>
        <w:topLinePunct w:val="0"/>
        <w:autoSpaceDE w:val="0"/>
        <w:autoSpaceDN w:val="0"/>
        <w:bidi w:val="0"/>
        <w:adjustRightInd w:val="0"/>
        <w:snapToGrid w:val="0"/>
        <w:spacing w:line="57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（二）强化指导服务。</w:t>
      </w:r>
      <w:r>
        <w:rPr>
          <w:rFonts w:hint="default" w:ascii="Times New Roman" w:hAnsi="Times New Roman" w:eastAsia="仿宋_GB2312" w:cs="Times New Roman"/>
          <w:sz w:val="32"/>
          <w:szCs w:val="32"/>
          <w:lang w:eastAsia="zh-CN"/>
        </w:rPr>
        <w:t>及时印发农作物重大病虫害防控技术方案，建立分片包干责任制，防控关键时期组派精干力量深入田间地头、防控一线开展指导，举办现场观摩与技术培训，示范引领指导农民采取综合防控措施，科学选药、安全用药、绿色防控，确保防控技术落到实处，严防因农药使用引发安全生产事故。</w:t>
      </w:r>
    </w:p>
    <w:p>
      <w:pPr>
        <w:keepNext w:val="0"/>
        <w:keepLines w:val="0"/>
        <w:pageBreakBefore w:val="0"/>
        <w:widowControl w:val="0"/>
        <w:kinsoku w:val="0"/>
        <w:wordWrap/>
        <w:overflowPunct/>
        <w:topLinePunct w:val="0"/>
        <w:autoSpaceDE w:val="0"/>
        <w:autoSpaceDN w:val="0"/>
        <w:bidi w:val="0"/>
        <w:adjustRightInd w:val="0"/>
        <w:snapToGrid w:val="0"/>
        <w:spacing w:line="57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（三）强化资金支持。</w:t>
      </w:r>
      <w:r>
        <w:rPr>
          <w:rFonts w:hint="default" w:ascii="Times New Roman" w:hAnsi="Times New Roman" w:eastAsia="仿宋_GB2312" w:cs="Times New Roman"/>
          <w:sz w:val="32"/>
          <w:szCs w:val="32"/>
          <w:lang w:eastAsia="zh-CN"/>
        </w:rPr>
        <w:t>根据农作物重大病虫害发生和防控需要，农牧</w:t>
      </w:r>
      <w:r>
        <w:rPr>
          <w:rFonts w:hint="eastAsia"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lang w:eastAsia="zh-CN"/>
        </w:rPr>
        <w:t>会同财政</w:t>
      </w:r>
      <w:r>
        <w:rPr>
          <w:rFonts w:hint="eastAsia"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lang w:eastAsia="zh-CN"/>
        </w:rPr>
        <w:t>划拨中央农业防灾减灾资金支持各地开展相关监测和防控工作。各地要管好用好中央财政资金，确保监测防控措施落实到位。</w:t>
      </w:r>
    </w:p>
    <w:p>
      <w:pPr>
        <w:keepNext w:val="0"/>
        <w:keepLines w:val="0"/>
        <w:pageBreakBefore w:val="0"/>
        <w:widowControl w:val="0"/>
        <w:kinsoku w:val="0"/>
        <w:wordWrap/>
        <w:overflowPunct/>
        <w:topLinePunct w:val="0"/>
        <w:autoSpaceDE w:val="0"/>
        <w:autoSpaceDN w:val="0"/>
        <w:bidi w:val="0"/>
        <w:adjustRightInd w:val="0"/>
        <w:snapToGrid w:val="0"/>
        <w:spacing w:line="57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（四）强化宣传引导。</w:t>
      </w:r>
      <w:r>
        <w:rPr>
          <w:rFonts w:hint="default" w:ascii="Times New Roman" w:hAnsi="Times New Roman" w:eastAsia="仿宋_GB2312" w:cs="Times New Roman"/>
          <w:sz w:val="32"/>
          <w:szCs w:val="32"/>
          <w:lang w:eastAsia="zh-CN"/>
        </w:rPr>
        <w:t>加强信息报送，做到对上有信息、对外有声音、对下有通报。充分利用电视、广播、报刊、网络、公众号等媒体平台，大力宣传各地好经验、好做法、好典型，为工作推进营造良好的舆论氛围。</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六、行动安排</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pacing w:val="-6"/>
          <w:sz w:val="32"/>
          <w:szCs w:val="32"/>
          <w:lang w:eastAsia="zh-CN"/>
        </w:rPr>
      </w:pPr>
      <w:r>
        <w:rPr>
          <w:rFonts w:hint="eastAsia" w:ascii="楷体_GB2312" w:hAnsi="楷体_GB2312" w:eastAsia="楷体_GB2312" w:cs="楷体_GB2312"/>
          <w:sz w:val="32"/>
          <w:szCs w:val="32"/>
          <w:lang w:eastAsia="zh-CN"/>
        </w:rPr>
        <w:t>（一）制定行动方案。</w:t>
      </w:r>
      <w:r>
        <w:rPr>
          <w:rFonts w:hint="eastAsia" w:ascii="仿宋_GB2312" w:hAnsi="微软雅黑" w:eastAsia="仿宋_GB2312" w:cs="宋体"/>
          <w:color w:val="auto"/>
          <w:kern w:val="0"/>
          <w:sz w:val="32"/>
          <w:szCs w:val="32"/>
          <w:highlight w:val="none"/>
          <w:lang w:val="en-US" w:eastAsia="zh-CN" w:bidi="ar-SA"/>
        </w:rPr>
        <w:t>5</w:t>
      </w:r>
      <w:r>
        <w:rPr>
          <w:rFonts w:hint="default" w:ascii="仿宋_GB2312" w:hAnsi="微软雅黑" w:eastAsia="仿宋_GB2312" w:cs="宋体"/>
          <w:color w:val="auto"/>
          <w:kern w:val="0"/>
          <w:sz w:val="32"/>
          <w:szCs w:val="32"/>
          <w:highlight w:val="none"/>
          <w:lang w:val="en-US" w:eastAsia="zh-CN" w:bidi="ar-SA"/>
        </w:rPr>
        <w:t>月</w:t>
      </w:r>
      <w:r>
        <w:rPr>
          <w:rFonts w:hint="eastAsia" w:ascii="仿宋_GB2312" w:hAnsi="微软雅黑" w:eastAsia="仿宋_GB2312" w:cs="宋体"/>
          <w:color w:val="auto"/>
          <w:kern w:val="0"/>
          <w:sz w:val="32"/>
          <w:szCs w:val="32"/>
          <w:highlight w:val="none"/>
          <w:lang w:val="en-US" w:eastAsia="zh-CN" w:bidi="ar-SA"/>
        </w:rPr>
        <w:t>上旬</w:t>
      </w:r>
      <w:r>
        <w:rPr>
          <w:rFonts w:hint="default" w:ascii="仿宋_GB2312" w:hAnsi="微软雅黑" w:eastAsia="仿宋_GB2312" w:cs="宋体"/>
          <w:color w:val="auto"/>
          <w:kern w:val="0"/>
          <w:sz w:val="32"/>
          <w:szCs w:val="32"/>
          <w:highlight w:val="none"/>
          <w:lang w:val="en-US" w:eastAsia="zh-CN" w:bidi="ar-SA"/>
        </w:rPr>
        <w:t>，制定印发行动方案，科学研判发生趋势，明确目标任务、技术路线和工作要求。5月</w:t>
      </w:r>
      <w:r>
        <w:rPr>
          <w:rFonts w:hint="eastAsia" w:ascii="仿宋_GB2312" w:hAnsi="微软雅黑" w:eastAsia="仿宋_GB2312" w:cs="宋体"/>
          <w:color w:val="auto"/>
          <w:kern w:val="0"/>
          <w:sz w:val="32"/>
          <w:szCs w:val="32"/>
          <w:highlight w:val="none"/>
          <w:lang w:val="en-US" w:eastAsia="zh-CN" w:bidi="ar-SA"/>
        </w:rPr>
        <w:t>中旬</w:t>
      </w:r>
      <w:r>
        <w:rPr>
          <w:rFonts w:hint="default"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spacing w:val="-6"/>
          <w:kern w:val="0"/>
          <w:sz w:val="32"/>
          <w:szCs w:val="32"/>
          <w:highlight w:val="none"/>
          <w:lang w:val="en-US" w:eastAsia="zh-CN" w:bidi="ar-SA"/>
        </w:rPr>
        <w:t>各</w:t>
      </w:r>
      <w:r>
        <w:rPr>
          <w:rFonts w:hint="eastAsia" w:ascii="仿宋_GB2312" w:hAnsi="微软雅黑" w:eastAsia="仿宋_GB2312" w:cs="宋体"/>
          <w:color w:val="auto"/>
          <w:spacing w:val="-6"/>
          <w:kern w:val="0"/>
          <w:sz w:val="32"/>
          <w:szCs w:val="32"/>
          <w:highlight w:val="none"/>
          <w:lang w:val="en-US" w:eastAsia="zh-CN" w:bidi="ar-SA"/>
        </w:rPr>
        <w:t>旗市区</w:t>
      </w:r>
      <w:r>
        <w:rPr>
          <w:rFonts w:hint="default" w:ascii="仿宋_GB2312" w:hAnsi="微软雅黑" w:eastAsia="仿宋_GB2312" w:cs="宋体"/>
          <w:color w:val="auto"/>
          <w:spacing w:val="-6"/>
          <w:kern w:val="0"/>
          <w:sz w:val="32"/>
          <w:szCs w:val="32"/>
          <w:highlight w:val="none"/>
          <w:lang w:val="en-US" w:eastAsia="zh-CN" w:bidi="ar-SA"/>
        </w:rPr>
        <w:t>农牧部门细化制定具体实施方案，报</w:t>
      </w:r>
      <w:r>
        <w:rPr>
          <w:rFonts w:hint="eastAsia" w:ascii="仿宋_GB2312" w:hAnsi="微软雅黑" w:eastAsia="仿宋_GB2312" w:cs="宋体"/>
          <w:color w:val="auto"/>
          <w:spacing w:val="-6"/>
          <w:kern w:val="0"/>
          <w:sz w:val="32"/>
          <w:szCs w:val="32"/>
          <w:highlight w:val="none"/>
          <w:lang w:val="en-US" w:eastAsia="zh-CN" w:bidi="ar-SA"/>
        </w:rPr>
        <w:t>农牧局种植业管理科</w:t>
      </w:r>
      <w:r>
        <w:rPr>
          <w:rFonts w:hint="default" w:ascii="仿宋_GB2312" w:hAnsi="微软雅黑" w:eastAsia="仿宋_GB2312" w:cs="宋体"/>
          <w:color w:val="auto"/>
          <w:spacing w:val="-6"/>
          <w:kern w:val="0"/>
          <w:sz w:val="32"/>
          <w:szCs w:val="32"/>
          <w:highlight w:val="none"/>
          <w:lang w:val="en-US" w:eastAsia="zh-CN" w:bidi="ar-SA"/>
        </w:rPr>
        <w:t>。</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（二）及时动员部署。</w:t>
      </w:r>
      <w:r>
        <w:rPr>
          <w:rFonts w:hint="eastAsia" w:ascii="仿宋_GB2312" w:hAnsi="微软雅黑" w:eastAsia="仿宋_GB2312" w:cs="宋体"/>
          <w:color w:val="auto"/>
          <w:kern w:val="0"/>
          <w:sz w:val="32"/>
          <w:szCs w:val="32"/>
          <w:highlight w:val="none"/>
          <w:lang w:val="en-US" w:eastAsia="zh-CN" w:bidi="ar-SA"/>
        </w:rPr>
        <w:t>5-8</w:t>
      </w:r>
      <w:r>
        <w:rPr>
          <w:rFonts w:hint="default" w:ascii="仿宋_GB2312" w:hAnsi="微软雅黑" w:eastAsia="仿宋_GB2312" w:cs="宋体"/>
          <w:color w:val="auto"/>
          <w:kern w:val="0"/>
          <w:sz w:val="32"/>
          <w:szCs w:val="32"/>
          <w:highlight w:val="none"/>
          <w:lang w:val="en-US" w:eastAsia="zh-CN" w:bidi="ar-SA"/>
        </w:rPr>
        <w:t>月，针对关键作物、病虫发生时段分别召开小麦穗期重大病虫、秋粮重大病虫害等防控</w:t>
      </w:r>
      <w:r>
        <w:rPr>
          <w:rFonts w:hint="eastAsia" w:ascii="仿宋_GB2312" w:hAnsi="微软雅黑" w:eastAsia="仿宋_GB2312" w:cs="宋体"/>
          <w:color w:val="auto"/>
          <w:kern w:val="0"/>
          <w:sz w:val="32"/>
          <w:szCs w:val="32"/>
          <w:highlight w:val="none"/>
          <w:lang w:val="en-US" w:eastAsia="zh-CN" w:bidi="ar-SA"/>
        </w:rPr>
        <w:t>培训班或</w:t>
      </w:r>
      <w:r>
        <w:rPr>
          <w:rFonts w:hint="default" w:ascii="仿宋_GB2312" w:hAnsi="微软雅黑" w:eastAsia="仿宋_GB2312" w:cs="宋体"/>
          <w:color w:val="auto"/>
          <w:kern w:val="0"/>
          <w:sz w:val="32"/>
          <w:szCs w:val="32"/>
          <w:highlight w:val="none"/>
          <w:lang w:val="en-US" w:eastAsia="zh-CN" w:bidi="ar-SA"/>
        </w:rPr>
        <w:t>现场会，分阶段、分作物、分区域动员安排防控工作。</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eastAsia" w:ascii="仿宋_GB2312" w:eastAsia="仿宋_GB2312"/>
          <w:color w:val="auto"/>
          <w:sz w:val="32"/>
          <w:szCs w:val="32"/>
          <w:highlight w:val="none"/>
          <w:lang w:eastAsia="zh-CN"/>
        </w:rPr>
      </w:pPr>
      <w:r>
        <w:rPr>
          <w:rFonts w:hint="eastAsia" w:ascii="楷体_GB2312" w:hAnsi="楷体_GB2312" w:eastAsia="楷体_GB2312" w:cs="楷体_GB2312"/>
          <w:sz w:val="32"/>
          <w:szCs w:val="32"/>
          <w:highlight w:val="none"/>
          <w:lang w:eastAsia="zh-CN"/>
        </w:rPr>
        <w:t>（三）准确会商趋势。</w:t>
      </w:r>
      <w:r>
        <w:rPr>
          <w:rFonts w:hint="eastAsia" w:ascii="仿宋_GB2312" w:hAnsi="微软雅黑" w:eastAsia="仿宋_GB2312" w:cs="宋体"/>
          <w:color w:val="auto"/>
          <w:kern w:val="0"/>
          <w:sz w:val="32"/>
          <w:szCs w:val="32"/>
          <w:highlight w:val="none"/>
          <w:lang w:val="en-US" w:eastAsia="zh-CN" w:bidi="ar-SA"/>
        </w:rPr>
        <w:t>3</w:t>
      </w:r>
      <w:r>
        <w:rPr>
          <w:rFonts w:hint="default" w:ascii="仿宋_GB2312" w:hAnsi="微软雅黑" w:eastAsia="仿宋_GB2312" w:cs="宋体"/>
          <w:color w:val="auto"/>
          <w:kern w:val="0"/>
          <w:sz w:val="32"/>
          <w:szCs w:val="32"/>
          <w:highlight w:val="none"/>
          <w:lang w:val="en-US" w:eastAsia="zh-CN" w:bidi="ar-SA"/>
        </w:rPr>
        <w:t>月</w:t>
      </w:r>
      <w:r>
        <w:rPr>
          <w:rFonts w:hint="eastAsia" w:ascii="仿宋_GB2312" w:hAnsi="微软雅黑" w:eastAsia="仿宋_GB2312" w:cs="宋体"/>
          <w:color w:val="auto"/>
          <w:kern w:val="0"/>
          <w:sz w:val="32"/>
          <w:szCs w:val="32"/>
          <w:highlight w:val="none"/>
          <w:lang w:val="en-US" w:eastAsia="zh-CN" w:bidi="ar-SA"/>
        </w:rPr>
        <w:t>上旬</w:t>
      </w:r>
      <w:r>
        <w:rPr>
          <w:rFonts w:hint="default" w:ascii="仿宋_GB2312" w:hAnsi="微软雅黑" w:eastAsia="仿宋_GB2312" w:cs="宋体"/>
          <w:color w:val="auto"/>
          <w:kern w:val="0"/>
          <w:sz w:val="32"/>
          <w:szCs w:val="32"/>
          <w:highlight w:val="none"/>
          <w:lang w:val="en-US" w:eastAsia="zh-CN" w:bidi="ar-SA"/>
        </w:rPr>
        <w:t>已</w:t>
      </w:r>
      <w:r>
        <w:rPr>
          <w:rFonts w:hint="eastAsia" w:ascii="仿宋_GB2312" w:hAnsi="微软雅黑" w:eastAsia="仿宋_GB2312" w:cs="宋体"/>
          <w:color w:val="auto"/>
          <w:kern w:val="0"/>
          <w:sz w:val="32"/>
          <w:szCs w:val="32"/>
          <w:highlight w:val="none"/>
          <w:lang w:val="en-US" w:eastAsia="zh-CN" w:bidi="ar-SA"/>
        </w:rPr>
        <w:t>发布全市农作物主要病虫害长期发生趋势预报</w:t>
      </w:r>
      <w:r>
        <w:rPr>
          <w:rFonts w:hint="default" w:ascii="仿宋_GB2312" w:hAnsi="微软雅黑" w:eastAsia="仿宋_GB2312" w:cs="宋体"/>
          <w:color w:val="auto"/>
          <w:kern w:val="0"/>
          <w:sz w:val="32"/>
          <w:szCs w:val="32"/>
          <w:highlight w:val="none"/>
          <w:lang w:val="en-US" w:eastAsia="zh-CN" w:bidi="ar-SA"/>
        </w:rPr>
        <w:t>；7月中旬开展</w:t>
      </w:r>
      <w:r>
        <w:rPr>
          <w:rFonts w:hint="eastAsia" w:ascii="仿宋_GB2312" w:eastAsia="仿宋_GB2312"/>
          <w:color w:val="auto"/>
          <w:sz w:val="32"/>
          <w:szCs w:val="32"/>
          <w:highlight w:val="none"/>
        </w:rPr>
        <w:t>根据</w:t>
      </w:r>
      <w:r>
        <w:rPr>
          <w:rFonts w:hint="eastAsia" w:ascii="仿宋_GB2312" w:eastAsia="仿宋_GB2312"/>
          <w:color w:val="auto"/>
          <w:sz w:val="32"/>
          <w:szCs w:val="32"/>
          <w:highlight w:val="none"/>
          <w:lang w:eastAsia="zh-CN"/>
        </w:rPr>
        <w:t>自治区秋粮作物重大病虫发生趋势会商情况，结合上半年病虫发生、气候等因素综合分析，准确发布预报预警信息。</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highlight w:val="none"/>
          <w:lang w:eastAsia="zh-CN"/>
        </w:rPr>
        <w:t>（四）严格信息报送。</w:t>
      </w:r>
      <w:r>
        <w:rPr>
          <w:rFonts w:hint="default" w:ascii="仿宋_GB2312" w:hAnsi="微软雅黑" w:eastAsia="仿宋_GB2312" w:cs="宋体"/>
          <w:color w:val="auto"/>
          <w:kern w:val="0"/>
          <w:sz w:val="32"/>
          <w:szCs w:val="32"/>
          <w:highlight w:val="none"/>
          <w:lang w:val="en-US" w:eastAsia="zh-CN" w:bidi="ar-SA"/>
        </w:rPr>
        <w:t>4</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7月对小麦</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一喷三防</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、5</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9月对玉米</w:t>
      </w:r>
      <w:r>
        <w:rPr>
          <w:rFonts w:hint="eastAsia" w:ascii="仿宋_GB2312" w:hAnsi="微软雅黑" w:eastAsia="仿宋_GB2312" w:cs="宋体"/>
          <w:color w:val="auto"/>
          <w:kern w:val="0"/>
          <w:sz w:val="32"/>
          <w:szCs w:val="32"/>
          <w:highlight w:val="none"/>
          <w:lang w:val="en-US" w:eastAsia="zh-CN" w:bidi="ar-SA"/>
        </w:rPr>
        <w:t>、大豆</w:t>
      </w:r>
      <w:r>
        <w:rPr>
          <w:rFonts w:hint="default" w:ascii="仿宋_GB2312" w:hAnsi="微软雅黑" w:eastAsia="仿宋_GB2312" w:cs="宋体"/>
          <w:color w:val="auto"/>
          <w:kern w:val="0"/>
          <w:sz w:val="32"/>
          <w:szCs w:val="32"/>
          <w:highlight w:val="none"/>
          <w:lang w:val="en-US" w:eastAsia="zh-CN" w:bidi="ar-SA"/>
        </w:rPr>
        <w:t>重大病虫、6</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9月对水稻重大病虫发生防控信息实行</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一周一报</w:t>
      </w:r>
      <w:r>
        <w:rPr>
          <w:rFonts w:hint="eastAsia" w:ascii="仿宋_GB2312" w:hAnsi="微软雅黑" w:eastAsia="仿宋_GB2312" w:cs="宋体"/>
          <w:color w:val="auto"/>
          <w:kern w:val="0"/>
          <w:sz w:val="32"/>
          <w:szCs w:val="32"/>
          <w:highlight w:val="none"/>
          <w:lang w:val="en-US" w:eastAsia="zh-CN" w:bidi="ar-SA"/>
        </w:rPr>
        <w:t>”</w:t>
      </w:r>
      <w:r>
        <w:rPr>
          <w:rFonts w:hint="default" w:ascii="仿宋_GB2312" w:hAnsi="微软雅黑" w:eastAsia="仿宋_GB2312" w:cs="宋体"/>
          <w:color w:val="auto"/>
          <w:kern w:val="0"/>
          <w:sz w:val="32"/>
          <w:szCs w:val="32"/>
          <w:highlight w:val="none"/>
          <w:lang w:val="en-US" w:eastAsia="zh-CN" w:bidi="ar-SA"/>
        </w:rPr>
        <w:t>制度。同时，严格执行新发突发重大病虫疫情当天即报制度，及时掌握发生防治动态。</w:t>
      </w: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eastAsia" w:ascii="楷体_GB2312" w:hAnsi="楷体_GB2312" w:eastAsia="楷体_GB2312" w:cs="楷体_GB2312"/>
          <w:sz w:val="32"/>
          <w:szCs w:val="32"/>
          <w:lang w:eastAsia="zh-CN"/>
        </w:rPr>
        <w:t>（五）加强调研指导。</w:t>
      </w:r>
      <w:r>
        <w:rPr>
          <w:rFonts w:hint="eastAsia" w:ascii="仿宋_GB2312" w:hAnsi="微软雅黑" w:eastAsia="仿宋_GB2312" w:cs="宋体"/>
          <w:color w:val="auto"/>
          <w:kern w:val="0"/>
          <w:sz w:val="32"/>
          <w:szCs w:val="32"/>
          <w:highlight w:val="none"/>
          <w:lang w:val="en-US" w:eastAsia="zh-CN" w:bidi="ar-SA"/>
        </w:rPr>
        <w:t>4月下旬</w:t>
      </w:r>
      <w:r>
        <w:rPr>
          <w:rFonts w:hint="default" w:ascii="仿宋_GB2312" w:hAnsi="微软雅黑" w:eastAsia="仿宋_GB2312" w:cs="宋体"/>
          <w:color w:val="auto"/>
          <w:kern w:val="0"/>
          <w:sz w:val="32"/>
          <w:szCs w:val="32"/>
          <w:highlight w:val="none"/>
          <w:lang w:val="en-US" w:eastAsia="zh-CN" w:bidi="ar-SA"/>
        </w:rPr>
        <w:t>至</w:t>
      </w:r>
      <w:r>
        <w:rPr>
          <w:rFonts w:hint="eastAsia" w:ascii="仿宋_GB2312" w:hAnsi="微软雅黑" w:eastAsia="仿宋_GB2312" w:cs="宋体"/>
          <w:color w:val="auto"/>
          <w:kern w:val="0"/>
          <w:sz w:val="32"/>
          <w:szCs w:val="32"/>
          <w:highlight w:val="none"/>
          <w:lang w:val="en-US" w:eastAsia="zh-CN" w:bidi="ar-SA"/>
        </w:rPr>
        <w:t>5月中旬、8月中旬至10月中旬，</w:t>
      </w:r>
      <w:r>
        <w:rPr>
          <w:rFonts w:hint="default" w:ascii="仿宋_GB2312" w:hAnsi="微软雅黑" w:eastAsia="仿宋_GB2312" w:cs="宋体"/>
          <w:color w:val="auto"/>
          <w:kern w:val="0"/>
          <w:sz w:val="32"/>
          <w:szCs w:val="32"/>
          <w:highlight w:val="none"/>
          <w:lang w:val="en-US" w:eastAsia="zh-CN" w:bidi="ar-SA"/>
        </w:rPr>
        <w:t>建立分片包干联系制度，分别组派工作组，采取日常联系和关键时期现场指导相结合形式，及时调度小麦、秋粮重大病虫发生和防控进展，指导并协助各地落实防控措施。同时，适时开</w:t>
      </w:r>
      <w:r>
        <w:rPr>
          <w:rFonts w:hint="default" w:ascii="仿宋_GB2312" w:hAnsi="微软雅黑" w:eastAsia="仿宋_GB2312" w:cs="宋体"/>
          <w:color w:val="auto"/>
          <w:spacing w:val="-6"/>
          <w:kern w:val="0"/>
          <w:sz w:val="32"/>
          <w:szCs w:val="32"/>
          <w:highlight w:val="none"/>
          <w:lang w:val="en-US" w:eastAsia="zh-CN" w:bidi="ar-SA"/>
        </w:rPr>
        <w:t>展绿色防控和安全用药巡回指导及专项调研，保障农产品质量安全</w:t>
      </w:r>
      <w:r>
        <w:rPr>
          <w:rFonts w:hint="default" w:ascii="仿宋_GB2312" w:hAnsi="微软雅黑" w:eastAsia="仿宋_GB2312" w:cs="宋体"/>
          <w:color w:val="auto"/>
          <w:kern w:val="0"/>
          <w:sz w:val="32"/>
          <w:szCs w:val="32"/>
          <w:highlight w:val="none"/>
          <w:lang w:val="en-US" w:eastAsia="zh-CN" w:bidi="ar-SA"/>
        </w:rPr>
        <w:t>。</w:t>
      </w:r>
    </w:p>
    <w:p>
      <w:pPr>
        <w:pStyle w:val="3"/>
        <w:keepNext w:val="0"/>
        <w:keepLines w:val="0"/>
        <w:pageBreakBefore w:val="0"/>
        <w:widowControl w:val="0"/>
        <w:kinsoku w:val="0"/>
        <w:wordWrap/>
        <w:overflowPunct/>
        <w:topLinePunct w:val="0"/>
        <w:autoSpaceDE w:val="0"/>
        <w:autoSpaceDN w:val="0"/>
        <w:bidi w:val="0"/>
        <w:adjustRightInd w:val="0"/>
        <w:snapToGrid w:val="0"/>
        <w:spacing w:line="580" w:lineRule="exact"/>
        <w:textAlignment w:val="baseline"/>
        <w:rPr>
          <w:rFonts w:hint="default"/>
          <w:sz w:val="32"/>
          <w:szCs w:val="32"/>
          <w:lang w:eastAsia="zh-CN"/>
        </w:rPr>
      </w:pPr>
    </w:p>
    <w:p>
      <w:pPr>
        <w:keepNext w:val="0"/>
        <w:keepLines w:val="0"/>
        <w:pageBreakBefore w:val="0"/>
        <w:widowControl w:val="0"/>
        <w:kinsoku w:val="0"/>
        <w:wordWrap/>
        <w:overflowPunct/>
        <w:topLinePunct w:val="0"/>
        <w:autoSpaceDE w:val="0"/>
        <w:autoSpaceDN w:val="0"/>
        <w:bidi w:val="0"/>
        <w:adjustRightInd w:val="0"/>
        <w:snapToGrid w:val="0"/>
        <w:spacing w:line="58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附件：</w:t>
      </w:r>
      <w:r>
        <w:rPr>
          <w:rFonts w:hint="default" w:ascii="仿宋_GB2312" w:hAnsi="微软雅黑" w:eastAsia="仿宋_GB2312" w:cs="宋体"/>
          <w:color w:val="auto"/>
          <w:kern w:val="0"/>
          <w:sz w:val="32"/>
          <w:szCs w:val="32"/>
          <w:highlight w:val="none"/>
          <w:lang w:val="en-US" w:eastAsia="zh-CN" w:bidi="ar-SA"/>
        </w:rPr>
        <w:t>2024年</w:t>
      </w:r>
      <w:r>
        <w:rPr>
          <w:rFonts w:hint="default" w:ascii="Times New Roman" w:hAnsi="Times New Roman" w:eastAsia="仿宋_GB2312" w:cs="Times New Roman"/>
          <w:sz w:val="32"/>
          <w:szCs w:val="32"/>
          <w:lang w:eastAsia="zh-CN"/>
        </w:rPr>
        <w:t>病虫害</w:t>
      </w:r>
      <w:r>
        <w:rPr>
          <w:rFonts w:hint="eastAsia" w:ascii="Times New Roman" w:hAnsi="Times New Roman" w:eastAsia="仿宋_GB2312" w:cs="Times New Roman"/>
          <w:sz w:val="32"/>
          <w:szCs w:val="32"/>
          <w:lang w:eastAsia="zh-CN"/>
        </w:rPr>
        <w:t>绿色防控</w:t>
      </w:r>
      <w:r>
        <w:rPr>
          <w:rFonts w:hint="default" w:ascii="Times New Roman" w:hAnsi="Times New Roman" w:eastAsia="仿宋_GB2312" w:cs="Times New Roman"/>
          <w:sz w:val="32"/>
          <w:szCs w:val="32"/>
          <w:lang w:eastAsia="zh-CN"/>
        </w:rPr>
        <w:t>统防统治计划分解表</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firstLine="640" w:firstLineChars="200"/>
        <w:jc w:val="both"/>
        <w:textAlignment w:val="baseline"/>
        <w:rPr>
          <w:rFonts w:hint="default" w:ascii="Times New Roman" w:hAnsi="Times New Roman" w:eastAsia="仿宋_GB2312" w:cs="Times New Roman"/>
          <w:sz w:val="32"/>
          <w:szCs w:val="32"/>
          <w:lang w:eastAsia="zh-CN"/>
        </w:rPr>
      </w:pPr>
    </w:p>
    <w:p>
      <w:pPr>
        <w:keepNext w:val="0"/>
        <w:keepLines w:val="0"/>
        <w:pageBreakBefore w:val="0"/>
        <w:widowControl w:val="0"/>
        <w:kinsoku w:val="0"/>
        <w:wordWrap/>
        <w:overflowPunct/>
        <w:topLinePunct w:val="0"/>
        <w:autoSpaceDE w:val="0"/>
        <w:autoSpaceDN w:val="0"/>
        <w:bidi w:val="0"/>
        <w:adjustRightInd w:val="0"/>
        <w:snapToGrid w:val="0"/>
        <w:spacing w:line="600" w:lineRule="exact"/>
        <w:jc w:val="both"/>
        <w:textAlignment w:val="baseline"/>
        <w:rPr>
          <w:rFonts w:hint="default"/>
          <w:lang w:eastAsia="zh-CN"/>
        </w:rPr>
      </w:pPr>
      <w:r>
        <w:rPr>
          <w:rFonts w:hint="eastAsia" w:ascii="黑体" w:hAnsi="黑体" w:eastAsia="黑体" w:cs="黑体"/>
          <w:b w:val="0"/>
          <w:bCs w:val="0"/>
          <w:spacing w:val="-5"/>
          <w:sz w:val="32"/>
          <w:szCs w:val="32"/>
          <w:lang w:eastAsia="zh-CN"/>
        </w:rPr>
        <w:t>附件</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仿宋_GB2312" w:cs="Times New Roman"/>
          <w:spacing w:val="1"/>
          <w:sz w:val="32"/>
          <w:szCs w:val="32"/>
        </w:rPr>
      </w:pPr>
      <w:r>
        <w:rPr>
          <w:rFonts w:hint="default" w:ascii="方正小标宋简体" w:hAnsi="方正小标宋简体" w:eastAsia="方正小标宋简体" w:cs="方正小标宋简体"/>
          <w:b w:val="0"/>
          <w:bCs w:val="0"/>
          <w:snapToGrid/>
          <w:kern w:val="2"/>
          <w:sz w:val="36"/>
          <w:szCs w:val="36"/>
          <w:lang w:val="en-US" w:eastAsia="zh-CN"/>
        </w:rPr>
        <w:t>2024年病虫害绿色防控统防统治计划分解表</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firstLine="5922" w:firstLineChars="2100"/>
        <w:jc w:val="both"/>
        <w:textAlignment w:val="baseline"/>
        <w:rPr>
          <w:rFonts w:hint="default" w:ascii="Times New Roman" w:hAnsi="Times New Roman" w:eastAsia="仿宋_GB2312" w:cs="Times New Roman"/>
          <w:spacing w:val="1"/>
          <w:sz w:val="28"/>
          <w:szCs w:val="28"/>
        </w:rPr>
      </w:pPr>
      <w:r>
        <w:rPr>
          <w:rFonts w:hint="default" w:ascii="Times New Roman" w:hAnsi="Times New Roman" w:eastAsia="仿宋_GB2312" w:cs="Times New Roman"/>
          <w:spacing w:val="1"/>
          <w:sz w:val="28"/>
          <w:szCs w:val="28"/>
        </w:rPr>
        <w:t>单位：万亩</w:t>
      </w:r>
    </w:p>
    <w:tbl>
      <w:tblPr>
        <w:tblStyle w:val="10"/>
        <w:tblpPr w:leftFromText="180" w:rightFromText="180" w:vertAnchor="text" w:horzAnchor="page" w:tblpXSpec="center" w:tblpY="135"/>
        <w:tblOverlap w:val="never"/>
        <w:tblW w:w="7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72"/>
        <w:gridCol w:w="2760"/>
        <w:gridCol w:w="27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旗市区</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绿色防控任务</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统防统治任务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海拉尔区</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13.4</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阿荣旗</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228</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215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莫旗</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347.5</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328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鄂伦春旗</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196.5</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鄂温克旗</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5.2</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陈旗</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50</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48.7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新左旗</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16</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牙克石市</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105</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101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扎兰屯市</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180</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额尔古纳市</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107.5</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根河市</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0.9</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0.9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jc w:val="center"/>
        </w:trPr>
        <w:tc>
          <w:tcPr>
            <w:tcW w:w="2372"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default" w:ascii="仿宋_GB2312" w:hAnsi="仿宋_GB2312" w:eastAsia="仿宋_GB2312" w:cs="仿宋_GB2312"/>
                <w:i w:val="0"/>
                <w:caps w:val="0"/>
                <w:color w:val="auto"/>
                <w:spacing w:val="0"/>
                <w:sz w:val="28"/>
                <w:szCs w:val="28"/>
                <w:highlight w:val="none"/>
                <w:shd w:val="clear" w:color="auto" w:fill="FFFFFF"/>
                <w:lang w:val="en"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 w:eastAsia="zh-CN"/>
              </w:rPr>
              <w:t>总计</w:t>
            </w:r>
          </w:p>
        </w:tc>
        <w:tc>
          <w:tcPr>
            <w:tcW w:w="2760"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1250</w:t>
            </w:r>
          </w:p>
        </w:tc>
        <w:tc>
          <w:tcPr>
            <w:tcW w:w="2775" w:type="dxa"/>
            <w:noWrap w:val="0"/>
            <w:vAlign w:val="center"/>
          </w:tcPr>
          <w:p>
            <w:pPr>
              <w:keepNext w:val="0"/>
              <w:keepLines w:val="0"/>
              <w:pageBreakBefore w:val="0"/>
              <w:widowControl w:val="0"/>
              <w:kinsoku/>
              <w:wordWrap/>
              <w:overflowPunct/>
              <w:topLinePunct w:val="0"/>
              <w:autoSpaceDE/>
              <w:autoSpaceDN/>
              <w:bidi w:val="0"/>
              <w:adjustRightInd w:val="0"/>
              <w:snapToGrid/>
              <w:spacing w:line="600" w:lineRule="exact"/>
              <w:jc w:val="center"/>
              <w:rPr>
                <w:rFonts w:hint="eastAsia" w:ascii="仿宋_GB2312" w:hAnsi="仿宋_GB2312" w:eastAsia="仿宋_GB2312" w:cs="仿宋_GB2312"/>
                <w:i w:val="0"/>
                <w:caps w:val="0"/>
                <w:color w:val="auto"/>
                <w:spacing w:val="0"/>
                <w:sz w:val="28"/>
                <w:szCs w:val="28"/>
                <w:highlight w:val="none"/>
                <w:shd w:val="clear" w:color="auto" w:fill="FFFFFF"/>
                <w:lang w:val="en-US" w:eastAsia="zh-CN"/>
              </w:rPr>
            </w:pPr>
            <w:r>
              <w:rPr>
                <w:rFonts w:hint="eastAsia" w:ascii="仿宋_GB2312" w:hAnsi="仿宋_GB2312" w:eastAsia="仿宋_GB2312" w:cs="仿宋_GB2312"/>
                <w:i w:val="0"/>
                <w:caps w:val="0"/>
                <w:color w:val="auto"/>
                <w:spacing w:val="0"/>
                <w:sz w:val="28"/>
                <w:szCs w:val="28"/>
                <w:highlight w:val="none"/>
                <w:shd w:val="clear" w:color="auto" w:fill="FFFFFF"/>
                <w:lang w:val="en-US" w:eastAsia="zh-CN"/>
              </w:rPr>
              <w:t>1195</w:t>
            </w:r>
          </w:p>
        </w:tc>
      </w:tr>
    </w:tbl>
    <w:p>
      <w:pPr>
        <w:keepNext w:val="0"/>
        <w:keepLines w:val="0"/>
        <w:pageBreakBefore w:val="0"/>
        <w:widowControl w:val="0"/>
        <w:kinsoku w:val="0"/>
        <w:wordWrap/>
        <w:overflowPunct/>
        <w:topLinePunct w:val="0"/>
        <w:autoSpaceDE w:val="0"/>
        <w:autoSpaceDN w:val="0"/>
        <w:bidi w:val="0"/>
        <w:adjustRightInd w:val="0"/>
        <w:snapToGrid w:val="0"/>
        <w:spacing w:line="600" w:lineRule="exact"/>
        <w:jc w:val="both"/>
        <w:textAlignment w:val="baseline"/>
        <w:rPr>
          <w:rFonts w:hint="default" w:ascii="Times New Roman" w:hAnsi="Times New Roman" w:eastAsia="仿宋_GB2312" w:cs="Times New Roman"/>
        </w:rPr>
      </w:pPr>
    </w:p>
    <w:tbl>
      <w:tblPr>
        <w:tblStyle w:val="6"/>
        <w:tblpPr w:leftFromText="180" w:rightFromText="180" w:vertAnchor="text" w:horzAnchor="page" w:tblpX="1570" w:tblpY="71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815" w:type="dxa"/>
            <w:tcBorders>
              <w:left w:val="nil"/>
              <w:right w:val="nil"/>
            </w:tcBorders>
            <w:noWrap w:val="0"/>
            <w:vAlign w:val="top"/>
          </w:tcPr>
          <w:p>
            <w:pPr>
              <w:keepNext w:val="0"/>
              <w:keepLines w:val="0"/>
              <w:pageBreakBefore w:val="0"/>
              <w:widowControl w:val="0"/>
              <w:kinsoku/>
              <w:wordWrap/>
              <w:overflowPunct/>
              <w:topLinePunct w:val="0"/>
              <w:autoSpaceDE/>
              <w:autoSpaceDN/>
              <w:bidi w:val="0"/>
              <w:spacing w:before="100" w:beforeAutospacing="1" w:after="100" w:afterAutospacing="1" w:line="600" w:lineRule="exact"/>
              <w:jc w:val="left"/>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呼伦贝尔市农牧局办公室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20</w:t>
            </w:r>
            <w:r>
              <w:rPr>
                <w:rFonts w:hint="eastAsia" w:ascii="仿宋_GB2312" w:hAnsi="仿宋_GB2312" w:eastAsia="仿宋_GB2312" w:cs="仿宋_GB2312"/>
                <w:kern w:val="0"/>
                <w:sz w:val="28"/>
                <w:szCs w:val="28"/>
                <w:lang w:val="en-US" w:eastAsia="zh-CN"/>
              </w:rPr>
              <w:t>24</w:t>
            </w:r>
            <w:r>
              <w:rPr>
                <w:rFonts w:hint="eastAsia" w:ascii="仿宋_GB2312" w:hAnsi="仿宋_GB2312" w:eastAsia="仿宋_GB2312" w:cs="仿宋_GB2312"/>
                <w:kern w:val="0"/>
                <w:sz w:val="28"/>
                <w:szCs w:val="28"/>
              </w:rPr>
              <w:t>年</w:t>
            </w:r>
            <w:r>
              <w:rPr>
                <w:rFonts w:hint="eastAsia" w:ascii="仿宋_GB2312" w:hAnsi="仿宋_GB2312" w:eastAsia="仿宋_GB2312" w:cs="仿宋_GB2312"/>
                <w:kern w:val="0"/>
                <w:sz w:val="28"/>
                <w:szCs w:val="28"/>
                <w:lang w:val="en-US" w:eastAsia="zh-CN"/>
              </w:rPr>
              <w:t>5</w:t>
            </w:r>
            <w:r>
              <w:rPr>
                <w:rFonts w:hint="eastAsia" w:ascii="仿宋_GB2312" w:hAnsi="仿宋_GB2312" w:eastAsia="仿宋_GB2312" w:cs="仿宋_GB2312"/>
                <w:kern w:val="0"/>
                <w:sz w:val="28"/>
                <w:szCs w:val="28"/>
              </w:rPr>
              <w:t>月</w:t>
            </w:r>
            <w:r>
              <w:rPr>
                <w:rFonts w:hint="eastAsia" w:ascii="仿宋_GB2312" w:hAnsi="仿宋_GB2312" w:eastAsia="仿宋_GB2312" w:cs="仿宋_GB2312"/>
                <w:kern w:val="0"/>
                <w:sz w:val="28"/>
                <w:szCs w:val="28"/>
                <w:lang w:val="en-US" w:eastAsia="zh-CN"/>
              </w:rPr>
              <w:t>20</w:t>
            </w:r>
            <w:r>
              <w:rPr>
                <w:rFonts w:hint="eastAsia" w:ascii="仿宋_GB2312" w:hAnsi="仿宋_GB2312" w:eastAsia="仿宋_GB2312" w:cs="仿宋_GB2312"/>
                <w:kern w:val="0"/>
                <w:sz w:val="28"/>
                <w:szCs w:val="28"/>
              </w:rPr>
              <w:t>日印发</w:t>
            </w:r>
          </w:p>
        </w:tc>
      </w:tr>
    </w:tbl>
    <w:p>
      <w:pPr>
        <w:pStyle w:val="2"/>
        <w:keepNext w:val="0"/>
        <w:keepLines w:val="0"/>
        <w:pageBreakBefore w:val="0"/>
        <w:widowControl w:val="0"/>
        <w:overflowPunct/>
        <w:topLinePunct w:val="0"/>
        <w:bidi w:val="0"/>
        <w:rPr>
          <w:rFonts w:hint="default"/>
        </w:rPr>
      </w:pPr>
    </w:p>
    <w:p/>
    <w:sectPr>
      <w:footerReference r:id="rId3" w:type="default"/>
      <w:pgSz w:w="11906" w:h="16838"/>
      <w:pgMar w:top="2098" w:right="1531" w:bottom="198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rPr>
                        <w:rFonts w:hint="default"/>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1YzA5YWJhMTJkNTUxYjdmZjA4ZjhjZjlmOTQwNDUifQ=="/>
  </w:docVars>
  <w:rsids>
    <w:rsidRoot w:val="77AC5496"/>
    <w:rsid w:val="77AC54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Calibri" w:hAnsi="Calibri" w:eastAsia="宋体" w:cs="Times New Roman"/>
      <w:kern w:val="0"/>
      <w:sz w:val="20"/>
      <w:szCs w:val="20"/>
    </w:rPr>
  </w:style>
  <w:style w:type="paragraph" w:styleId="3">
    <w:name w:val="Normal Indent"/>
    <w:basedOn w:val="1"/>
    <w:qFormat/>
    <w:uiPriority w:val="0"/>
    <w:pPr>
      <w:widowControl/>
      <w:kinsoku w:val="0"/>
      <w:autoSpaceDE w:val="0"/>
      <w:autoSpaceDN w:val="0"/>
      <w:adjustRightInd w:val="0"/>
      <w:snapToGrid w:val="0"/>
      <w:spacing w:line="240" w:lineRule="auto"/>
      <w:ind w:firstLine="567"/>
      <w:jc w:val="left"/>
      <w:textAlignment w:val="baseline"/>
    </w:pPr>
    <w:rPr>
      <w:rFonts w:ascii="Arial" w:hAnsi="Arial" w:eastAsia="Arial" w:cs="Arial"/>
      <w:snapToGrid w:val="0"/>
      <w:color w:val="000000"/>
      <w:kern w:val="0"/>
      <w:sz w:val="28"/>
      <w:szCs w:val="28"/>
    </w:rPr>
  </w:style>
  <w:style w:type="paragraph" w:styleId="4">
    <w:name w:val="footer"/>
    <w:basedOn w:val="1"/>
    <w:semiHidden/>
    <w:unhideWhenUsed/>
    <w:qFormat/>
    <w:uiPriority w:val="99"/>
    <w:pPr>
      <w:tabs>
        <w:tab w:val="center" w:pos="4153"/>
        <w:tab w:val="right" w:pos="8306"/>
      </w:tabs>
      <w:snapToGrid w:val="0"/>
      <w:jc w:val="left"/>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22"/>
    <w:rPr>
      <w:b/>
      <w:bCs/>
    </w:rPr>
  </w:style>
  <w:style w:type="character" w:customStyle="1" w:styleId="9">
    <w:name w:val="fontstyle01"/>
    <w:basedOn w:val="7"/>
    <w:autoRedefine/>
    <w:qFormat/>
    <w:uiPriority w:val="0"/>
    <w:rPr>
      <w:rFonts w:hint="eastAsia" w:ascii="仿宋_GB2312" w:eastAsia="仿宋_GB2312"/>
      <w:color w:val="000000"/>
      <w:sz w:val="32"/>
      <w:szCs w:val="32"/>
    </w:rPr>
  </w:style>
  <w:style w:type="table" w:customStyle="1" w:styleId="10">
    <w:name w:val="Table Normal"/>
    <w:autoRedefine/>
    <w:semiHidden/>
    <w:unhideWhenUsed/>
    <w:qFormat/>
    <w:uiPriority w:val="0"/>
    <w:rPr>
      <w:rFonts w:asciiTheme="minorHAnsi" w:eastAsiaTheme="minorEastAsia"/>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2024-05-22T01:39:00Z</dcterms:created>
  <dc:creator>演示人</dc:creator>
  <cp:lastModifiedBy>演示人</cp:lastModifiedBy>
  <dcterms:modified xsi:type="dcterms:W3CDTF">2024-05-22T01:42:09Z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AD8C4B2B07D94586B645531E61F17B59_11</vt:lpwstr>
  </property>
</Properties>
</file>